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F5B" w:rsidRPr="00B07F5B" w:rsidRDefault="00B07F5B" w:rsidP="00B07F5B">
      <w:pPr>
        <w:spacing w:after="0" w:line="240" w:lineRule="atLeast"/>
        <w:jc w:val="center"/>
        <w:rPr>
          <w:rFonts w:ascii="Times New Roman" w:hAnsi="Times New Roman" w:cs="Times New Roman"/>
        </w:rPr>
      </w:pPr>
    </w:p>
    <w:p w:rsidR="00CF5F24" w:rsidRPr="00042EF3" w:rsidRDefault="00CF5F24" w:rsidP="00B07F5B">
      <w:pPr>
        <w:spacing w:after="0" w:line="240" w:lineRule="atLeast"/>
        <w:jc w:val="center"/>
        <w:rPr>
          <w:rFonts w:ascii="Times New Roman" w:hAnsi="Times New Roman" w:cs="Times New Roman"/>
          <w:b/>
          <w:lang w:val="uk-UA"/>
        </w:rPr>
      </w:pPr>
      <w:r w:rsidRPr="00042EF3">
        <w:rPr>
          <w:rFonts w:ascii="Times New Roman" w:hAnsi="Times New Roman" w:cs="Times New Roman"/>
          <w:b/>
        </w:rPr>
        <w:t>ПОВІДОМЛЕННЯ ПРО ПРОВЕДЕННЯ РІЧНИХ ЗАГАЛЬНИХ ЗБОРІВ АКЦІОНЕРІВ</w:t>
      </w:r>
    </w:p>
    <w:p w:rsidR="00B07F5B" w:rsidRPr="00042EF3" w:rsidRDefault="00CF5F24" w:rsidP="00B07F5B">
      <w:pPr>
        <w:spacing w:after="0" w:line="240" w:lineRule="atLeast"/>
        <w:jc w:val="center"/>
        <w:rPr>
          <w:rFonts w:ascii="Times New Roman" w:hAnsi="Times New Roman" w:cs="Times New Roman"/>
          <w:b/>
          <w:lang w:val="uk-UA"/>
        </w:rPr>
      </w:pPr>
      <w:r w:rsidRPr="00042EF3">
        <w:rPr>
          <w:rFonts w:ascii="Times New Roman" w:hAnsi="Times New Roman" w:cs="Times New Roman"/>
          <w:b/>
          <w:lang w:val="uk-UA"/>
        </w:rPr>
        <w:t>ПРИВАТНОГО АКЦІОНЕРНОГО ТОВАРИСТВА «ЕНКО»</w:t>
      </w:r>
    </w:p>
    <w:p w:rsidR="00CF5F24" w:rsidRDefault="00CF5F24" w:rsidP="00B07F5B">
      <w:pPr>
        <w:spacing w:after="0" w:line="240" w:lineRule="atLeast"/>
        <w:jc w:val="center"/>
        <w:rPr>
          <w:rFonts w:ascii="Times New Roman" w:hAnsi="Times New Roman" w:cs="Times New Roman"/>
          <w:lang w:val="uk-UA"/>
        </w:rPr>
      </w:pPr>
    </w:p>
    <w:p w:rsidR="00CF5F24" w:rsidRDefault="00CF5F24" w:rsidP="00CF5F24">
      <w:pPr>
        <w:spacing w:after="0" w:line="240" w:lineRule="atLeast"/>
        <w:jc w:val="both"/>
        <w:rPr>
          <w:rFonts w:ascii="Times New Roman" w:hAnsi="Times New Roman" w:cs="Times New Roman"/>
          <w:lang w:val="uk-UA"/>
        </w:rPr>
      </w:pPr>
      <w:r w:rsidRPr="00CF5F24">
        <w:rPr>
          <w:rFonts w:ascii="Times New Roman" w:hAnsi="Times New Roman" w:cs="Times New Roman"/>
          <w:lang w:val="uk-UA"/>
        </w:rPr>
        <w:t>Відповідно до рішення Наглядової ради ПРИВАТНОГО АКЦІОНЕРНОГО ТОВАРИСТВА «</w:t>
      </w:r>
      <w:r>
        <w:rPr>
          <w:rFonts w:ascii="Times New Roman" w:hAnsi="Times New Roman" w:cs="Times New Roman"/>
          <w:lang w:val="uk-UA"/>
        </w:rPr>
        <w:t>ЕНКО</w:t>
      </w:r>
      <w:r w:rsidRPr="00974D01">
        <w:rPr>
          <w:rFonts w:ascii="Times New Roman" w:hAnsi="Times New Roman" w:cs="Times New Roman"/>
          <w:color w:val="000000" w:themeColor="text1"/>
          <w:lang w:val="uk-UA"/>
        </w:rPr>
        <w:t xml:space="preserve">»  (протокол №1 від </w:t>
      </w:r>
      <w:r w:rsidR="002E768A" w:rsidRPr="00974D01">
        <w:rPr>
          <w:rFonts w:ascii="Times New Roman" w:hAnsi="Times New Roman" w:cs="Times New Roman"/>
          <w:color w:val="000000" w:themeColor="text1"/>
          <w:lang w:val="uk-UA"/>
        </w:rPr>
        <w:t>21</w:t>
      </w:r>
      <w:r w:rsidRPr="00974D01">
        <w:rPr>
          <w:rFonts w:ascii="Times New Roman" w:hAnsi="Times New Roman" w:cs="Times New Roman"/>
          <w:color w:val="000000" w:themeColor="text1"/>
          <w:lang w:val="uk-UA"/>
        </w:rPr>
        <w:t xml:space="preserve">листопада 2022 року), </w:t>
      </w:r>
      <w:r w:rsidRPr="00CF5F24">
        <w:rPr>
          <w:rFonts w:ascii="Times New Roman" w:hAnsi="Times New Roman" w:cs="Times New Roman"/>
          <w:lang w:val="uk-UA"/>
        </w:rPr>
        <w:t xml:space="preserve">Закону України «Про акціонерні товариства»,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НКЦПФР № 196 від 16.04.2020 р. (зі змінами) та Рішення НКЦПФР №1183 від 19.09.2022р. «Щодо особливостей проведення загальних зборів акціонерів та загальних зборів учасників корпоративного інвестиційного фонду на період дії воєнного стану», повідомляємо про скликання та </w:t>
      </w:r>
      <w:r w:rsidRPr="00CF5F24">
        <w:rPr>
          <w:rFonts w:ascii="Times New Roman" w:hAnsi="Times New Roman" w:cs="Times New Roman"/>
          <w:b/>
          <w:lang w:val="uk-UA"/>
        </w:rPr>
        <w:t>дистанційне</w:t>
      </w:r>
      <w:r w:rsidRPr="00CF5F24">
        <w:rPr>
          <w:rFonts w:ascii="Times New Roman" w:hAnsi="Times New Roman" w:cs="Times New Roman"/>
          <w:lang w:val="uk-UA"/>
        </w:rPr>
        <w:t xml:space="preserve"> проведення річних Загальних зборів акціонерів ПрАТ «ЕНКО».</w:t>
      </w:r>
    </w:p>
    <w:p w:rsidR="00CF5F24" w:rsidRPr="00CF5F24" w:rsidRDefault="00CF5F24" w:rsidP="00CF5F24">
      <w:pPr>
        <w:spacing w:after="0" w:line="240" w:lineRule="atLeast"/>
        <w:jc w:val="both"/>
        <w:rPr>
          <w:rFonts w:ascii="Times New Roman" w:hAnsi="Times New Roman" w:cs="Times New Roman"/>
          <w:lang w:val="uk-UA"/>
        </w:rPr>
      </w:pPr>
    </w:p>
    <w:p w:rsidR="00B07F5B" w:rsidRPr="00CF5F24" w:rsidRDefault="00CF5F24" w:rsidP="00CF5F24">
      <w:pPr>
        <w:spacing w:after="0" w:line="240" w:lineRule="atLeast"/>
        <w:jc w:val="both"/>
        <w:rPr>
          <w:rFonts w:ascii="Times New Roman" w:hAnsi="Times New Roman" w:cs="Times New Roman"/>
          <w:lang w:val="uk-UA"/>
        </w:rPr>
      </w:pPr>
      <w:r w:rsidRPr="00CF5F24">
        <w:rPr>
          <w:rFonts w:ascii="Times New Roman" w:hAnsi="Times New Roman" w:cs="Times New Roman"/>
          <w:b/>
          <w:lang w:val="uk-UA"/>
        </w:rPr>
        <w:t>Повне найменування та місцезнаходження товариства:</w:t>
      </w:r>
      <w:r w:rsidRPr="00CF5F24">
        <w:rPr>
          <w:b/>
        </w:rPr>
        <w:t xml:space="preserve"> </w:t>
      </w:r>
      <w:r w:rsidRPr="00CF5F24">
        <w:rPr>
          <w:rFonts w:ascii="Times New Roman" w:hAnsi="Times New Roman" w:cs="Times New Roman"/>
          <w:lang w:val="uk-UA"/>
        </w:rPr>
        <w:t>Приватн</w:t>
      </w:r>
      <w:r>
        <w:rPr>
          <w:rFonts w:ascii="Times New Roman" w:hAnsi="Times New Roman" w:cs="Times New Roman"/>
          <w:lang w:val="uk-UA"/>
        </w:rPr>
        <w:t>е</w:t>
      </w:r>
      <w:r w:rsidRPr="00CF5F24">
        <w:rPr>
          <w:rFonts w:ascii="Times New Roman" w:hAnsi="Times New Roman" w:cs="Times New Roman"/>
          <w:lang w:val="uk-UA"/>
        </w:rPr>
        <w:t xml:space="preserve"> </w:t>
      </w:r>
      <w:r>
        <w:rPr>
          <w:rFonts w:ascii="Times New Roman" w:hAnsi="Times New Roman" w:cs="Times New Roman"/>
          <w:lang w:val="uk-UA"/>
        </w:rPr>
        <w:t>а</w:t>
      </w:r>
      <w:r w:rsidRPr="00CF5F24">
        <w:rPr>
          <w:rFonts w:ascii="Times New Roman" w:hAnsi="Times New Roman" w:cs="Times New Roman"/>
          <w:lang w:val="uk-UA"/>
        </w:rPr>
        <w:t>кціонерн</w:t>
      </w:r>
      <w:r>
        <w:rPr>
          <w:rFonts w:ascii="Times New Roman" w:hAnsi="Times New Roman" w:cs="Times New Roman"/>
          <w:lang w:val="uk-UA"/>
        </w:rPr>
        <w:t>е</w:t>
      </w:r>
      <w:r w:rsidRPr="00CF5F24">
        <w:rPr>
          <w:rFonts w:ascii="Times New Roman" w:hAnsi="Times New Roman" w:cs="Times New Roman"/>
          <w:lang w:val="uk-UA"/>
        </w:rPr>
        <w:t xml:space="preserve"> </w:t>
      </w:r>
      <w:r>
        <w:rPr>
          <w:rFonts w:ascii="Times New Roman" w:hAnsi="Times New Roman" w:cs="Times New Roman"/>
          <w:lang w:val="uk-UA"/>
        </w:rPr>
        <w:t>т</w:t>
      </w:r>
      <w:r w:rsidRPr="00CF5F24">
        <w:rPr>
          <w:rFonts w:ascii="Times New Roman" w:hAnsi="Times New Roman" w:cs="Times New Roman"/>
          <w:lang w:val="uk-UA"/>
        </w:rPr>
        <w:t>овариств</w:t>
      </w:r>
      <w:r>
        <w:rPr>
          <w:rFonts w:ascii="Times New Roman" w:hAnsi="Times New Roman" w:cs="Times New Roman"/>
          <w:lang w:val="uk-UA"/>
        </w:rPr>
        <w:t>о</w:t>
      </w:r>
      <w:r w:rsidRPr="00CF5F24">
        <w:rPr>
          <w:rFonts w:ascii="Times New Roman" w:hAnsi="Times New Roman" w:cs="Times New Roman"/>
          <w:lang w:val="uk-UA"/>
        </w:rPr>
        <w:t xml:space="preserve"> «ЕНКО»</w:t>
      </w:r>
      <w:r>
        <w:rPr>
          <w:rFonts w:ascii="Times New Roman" w:hAnsi="Times New Roman" w:cs="Times New Roman"/>
          <w:lang w:val="uk-UA"/>
        </w:rPr>
        <w:t xml:space="preserve"> (</w:t>
      </w:r>
      <w:r w:rsidR="00B07F5B" w:rsidRPr="00B07F5B">
        <w:rPr>
          <w:rFonts w:ascii="Times New Roman" w:hAnsi="Times New Roman" w:cs="Times New Roman"/>
        </w:rPr>
        <w:t>ЄДРПОУ 133</w:t>
      </w:r>
      <w:r w:rsidR="00B07F5B">
        <w:rPr>
          <w:rFonts w:ascii="Times New Roman" w:hAnsi="Times New Roman" w:cs="Times New Roman"/>
          <w:lang w:val="uk-UA"/>
        </w:rPr>
        <w:t>67676</w:t>
      </w:r>
      <w:r>
        <w:rPr>
          <w:rFonts w:ascii="Times New Roman" w:hAnsi="Times New Roman" w:cs="Times New Roman"/>
          <w:lang w:val="uk-UA"/>
        </w:rPr>
        <w:t>),</w:t>
      </w:r>
      <w:r w:rsidR="00B07F5B" w:rsidRPr="00B07F5B">
        <w:rPr>
          <w:rFonts w:ascii="Times New Roman" w:hAnsi="Times New Roman" w:cs="Times New Roman"/>
        </w:rPr>
        <w:t xml:space="preserve"> 43000, Волинська  область, м.</w:t>
      </w:r>
      <w:r w:rsidR="00042EF3">
        <w:rPr>
          <w:rFonts w:ascii="Times New Roman" w:hAnsi="Times New Roman" w:cs="Times New Roman"/>
          <w:lang w:val="uk-UA"/>
        </w:rPr>
        <w:t xml:space="preserve"> </w:t>
      </w:r>
      <w:r w:rsidR="00B07F5B" w:rsidRPr="00B07F5B">
        <w:rPr>
          <w:rFonts w:ascii="Times New Roman" w:hAnsi="Times New Roman" w:cs="Times New Roman"/>
        </w:rPr>
        <w:t>Луцьк,  вул. Електроапаратна, 3</w:t>
      </w:r>
      <w:r>
        <w:rPr>
          <w:rFonts w:ascii="Times New Roman" w:hAnsi="Times New Roman" w:cs="Times New Roman"/>
          <w:lang w:val="uk-UA"/>
        </w:rPr>
        <w:t>.</w:t>
      </w:r>
    </w:p>
    <w:p w:rsidR="000E52B5" w:rsidRDefault="000E52B5" w:rsidP="00CF5F24">
      <w:pPr>
        <w:jc w:val="both"/>
        <w:rPr>
          <w:rFonts w:ascii="Times New Roman" w:hAnsi="Times New Roman" w:cs="Times New Roman"/>
        </w:rPr>
      </w:pPr>
    </w:p>
    <w:p w:rsidR="00CF5F24" w:rsidRPr="00CF5F24" w:rsidRDefault="00CF5F24" w:rsidP="00CF5F24">
      <w:pPr>
        <w:jc w:val="both"/>
        <w:rPr>
          <w:rFonts w:ascii="Times New Roman" w:hAnsi="Times New Roman" w:cs="Times New Roman"/>
        </w:rPr>
      </w:pPr>
      <w:r w:rsidRPr="000E52B5">
        <w:rPr>
          <w:rFonts w:ascii="Times New Roman" w:hAnsi="Times New Roman" w:cs="Times New Roman"/>
          <w:b/>
        </w:rPr>
        <w:t>Дата проведення річних Загальних зборів (дата завершення голосування</w:t>
      </w:r>
      <w:r w:rsidRPr="00CF5F24">
        <w:rPr>
          <w:rFonts w:ascii="Times New Roman" w:hAnsi="Times New Roman" w:cs="Times New Roman"/>
        </w:rPr>
        <w:t xml:space="preserve">): </w:t>
      </w:r>
      <w:r w:rsidR="000E52B5">
        <w:rPr>
          <w:rFonts w:ascii="Times New Roman" w:hAnsi="Times New Roman" w:cs="Times New Roman"/>
          <w:lang w:val="uk-UA"/>
        </w:rPr>
        <w:t>28</w:t>
      </w:r>
      <w:r w:rsidRPr="00CF5F24">
        <w:rPr>
          <w:rFonts w:ascii="Times New Roman" w:hAnsi="Times New Roman" w:cs="Times New Roman"/>
        </w:rPr>
        <w:t xml:space="preserve"> </w:t>
      </w:r>
      <w:r w:rsidR="000E52B5">
        <w:rPr>
          <w:rFonts w:ascii="Times New Roman" w:hAnsi="Times New Roman" w:cs="Times New Roman"/>
          <w:lang w:val="uk-UA"/>
        </w:rPr>
        <w:t>грудня</w:t>
      </w:r>
      <w:r w:rsidRPr="00CF5F24">
        <w:rPr>
          <w:rFonts w:ascii="Times New Roman" w:hAnsi="Times New Roman" w:cs="Times New Roman"/>
        </w:rPr>
        <w:t xml:space="preserve"> 2022 року.</w:t>
      </w:r>
    </w:p>
    <w:p w:rsidR="00DC4CF9" w:rsidRDefault="00CF5F24" w:rsidP="00CF5F24">
      <w:pPr>
        <w:jc w:val="both"/>
        <w:rPr>
          <w:rFonts w:ascii="Times New Roman" w:hAnsi="Times New Roman" w:cs="Times New Roman"/>
        </w:rPr>
      </w:pPr>
      <w:r w:rsidRPr="000E52B5">
        <w:rPr>
          <w:rFonts w:ascii="Times New Roman" w:hAnsi="Times New Roman" w:cs="Times New Roman"/>
          <w:b/>
        </w:rPr>
        <w:t>Дата розміщення бюлетеню для голосування у вільному для акціонерів доступі на власному веб-сайті, на якій</w:t>
      </w:r>
      <w:r w:rsidR="000E52B5" w:rsidRPr="000E52B5">
        <w:rPr>
          <w:rFonts w:ascii="Times New Roman" w:hAnsi="Times New Roman" w:cs="Times New Roman"/>
          <w:b/>
          <w:lang w:val="uk-UA"/>
        </w:rPr>
        <w:t xml:space="preserve"> </w:t>
      </w:r>
      <w:r w:rsidRPr="000E52B5">
        <w:rPr>
          <w:rFonts w:ascii="Times New Roman" w:hAnsi="Times New Roman" w:cs="Times New Roman"/>
          <w:b/>
        </w:rPr>
        <w:t>будуть розміщені бюлетені</w:t>
      </w:r>
      <w:r w:rsidRPr="00CF5F24">
        <w:rPr>
          <w:rFonts w:ascii="Times New Roman" w:hAnsi="Times New Roman" w:cs="Times New Roman"/>
        </w:rPr>
        <w:t>:</w:t>
      </w:r>
    </w:p>
    <w:p w:rsidR="00CF5F24" w:rsidRPr="00974D01" w:rsidRDefault="00DC4CF9" w:rsidP="00CF5F24">
      <w:pPr>
        <w:jc w:val="both"/>
        <w:rPr>
          <w:rFonts w:ascii="Times New Roman" w:hAnsi="Times New Roman" w:cs="Times New Roman"/>
          <w:color w:val="000000" w:themeColor="text1"/>
        </w:rPr>
      </w:pPr>
      <w:r>
        <w:rPr>
          <w:rFonts w:ascii="Times New Roman" w:hAnsi="Times New Roman" w:cs="Times New Roman"/>
          <w:lang w:val="uk-UA"/>
        </w:rPr>
        <w:t>-</w:t>
      </w:r>
      <w:r w:rsidR="00CF5F24" w:rsidRPr="00CF5F24">
        <w:rPr>
          <w:rFonts w:ascii="Times New Roman" w:hAnsi="Times New Roman" w:cs="Times New Roman"/>
        </w:rPr>
        <w:t xml:space="preserve"> Бюлетень для голосування (щодо інших питань порядку денного, крім обрання органівТовариства) буде розміщено у вільному для </w:t>
      </w:r>
      <w:r w:rsidR="00CF5F24" w:rsidRPr="00974D01">
        <w:rPr>
          <w:rFonts w:ascii="Times New Roman" w:hAnsi="Times New Roman" w:cs="Times New Roman"/>
          <w:color w:val="000000" w:themeColor="text1"/>
        </w:rPr>
        <w:t xml:space="preserve">акціонерів доступі </w:t>
      </w:r>
      <w:r w:rsidRPr="00974D01">
        <w:rPr>
          <w:rFonts w:ascii="Times New Roman" w:hAnsi="Times New Roman" w:cs="Times New Roman"/>
          <w:color w:val="000000" w:themeColor="text1"/>
          <w:lang w:val="uk-UA"/>
        </w:rPr>
        <w:t>16</w:t>
      </w:r>
      <w:r w:rsidR="00CF5F24" w:rsidRPr="00974D01">
        <w:rPr>
          <w:rFonts w:ascii="Times New Roman" w:hAnsi="Times New Roman" w:cs="Times New Roman"/>
          <w:color w:val="000000" w:themeColor="text1"/>
        </w:rPr>
        <w:t>.</w:t>
      </w:r>
      <w:r w:rsidRPr="00974D01">
        <w:rPr>
          <w:rFonts w:ascii="Times New Roman" w:hAnsi="Times New Roman" w:cs="Times New Roman"/>
          <w:color w:val="000000" w:themeColor="text1"/>
          <w:lang w:val="uk-UA"/>
        </w:rPr>
        <w:t>12.</w:t>
      </w:r>
      <w:r w:rsidR="00CF5F24" w:rsidRPr="00974D01">
        <w:rPr>
          <w:rFonts w:ascii="Times New Roman" w:hAnsi="Times New Roman" w:cs="Times New Roman"/>
          <w:color w:val="000000" w:themeColor="text1"/>
        </w:rPr>
        <w:t>2022</w:t>
      </w:r>
      <w:r w:rsidRPr="00974D01">
        <w:rPr>
          <w:rFonts w:ascii="Times New Roman" w:hAnsi="Times New Roman" w:cs="Times New Roman"/>
          <w:color w:val="000000" w:themeColor="text1"/>
          <w:lang w:val="uk-UA"/>
        </w:rPr>
        <w:t xml:space="preserve"> </w:t>
      </w:r>
      <w:r w:rsidR="00CF5F24" w:rsidRPr="00974D01">
        <w:rPr>
          <w:rFonts w:ascii="Times New Roman" w:hAnsi="Times New Roman" w:cs="Times New Roman"/>
          <w:color w:val="000000" w:themeColor="text1"/>
        </w:rPr>
        <w:t xml:space="preserve"> на власному</w:t>
      </w:r>
      <w:r w:rsidRPr="00974D01">
        <w:rPr>
          <w:rFonts w:ascii="Times New Roman" w:hAnsi="Times New Roman" w:cs="Times New Roman"/>
          <w:color w:val="000000" w:themeColor="text1"/>
          <w:lang w:val="uk-UA"/>
        </w:rPr>
        <w:t xml:space="preserve"> </w:t>
      </w:r>
      <w:r w:rsidR="00CF5F24" w:rsidRPr="00974D01">
        <w:rPr>
          <w:rFonts w:ascii="Times New Roman" w:hAnsi="Times New Roman" w:cs="Times New Roman"/>
          <w:color w:val="000000" w:themeColor="text1"/>
        </w:rPr>
        <w:t xml:space="preserve">вебсайті Товариства: </w:t>
      </w:r>
      <w:r w:rsidRPr="00974D01">
        <w:rPr>
          <w:rFonts w:ascii="Times New Roman" w:hAnsi="Times New Roman" w:cs="Times New Roman"/>
          <w:color w:val="000000" w:themeColor="text1"/>
        </w:rPr>
        <w:t xml:space="preserve">http://www.enko.pat.ua/ </w:t>
      </w:r>
      <w:r w:rsidR="00CF5F24" w:rsidRPr="00974D01">
        <w:rPr>
          <w:rFonts w:ascii="Times New Roman" w:hAnsi="Times New Roman" w:cs="Times New Roman"/>
          <w:color w:val="000000" w:themeColor="text1"/>
        </w:rPr>
        <w:t xml:space="preserve"> (розділ «Повідомлення про збори»).</w:t>
      </w:r>
    </w:p>
    <w:p w:rsidR="00CF5F24" w:rsidRPr="00974D01" w:rsidRDefault="00DC4CF9" w:rsidP="00CF5F24">
      <w:pPr>
        <w:jc w:val="both"/>
        <w:rPr>
          <w:rFonts w:ascii="Times New Roman" w:hAnsi="Times New Roman" w:cs="Times New Roman"/>
          <w:color w:val="000000" w:themeColor="text1"/>
        </w:rPr>
      </w:pPr>
      <w:r w:rsidRPr="00974D01">
        <w:rPr>
          <w:rFonts w:ascii="Times New Roman" w:hAnsi="Times New Roman" w:cs="Times New Roman"/>
          <w:color w:val="000000" w:themeColor="text1"/>
          <w:lang w:val="uk-UA"/>
        </w:rPr>
        <w:t>-</w:t>
      </w:r>
      <w:r w:rsidR="00CF5F24" w:rsidRPr="00974D01">
        <w:rPr>
          <w:rFonts w:ascii="Times New Roman" w:hAnsi="Times New Roman" w:cs="Times New Roman"/>
          <w:color w:val="000000" w:themeColor="text1"/>
        </w:rPr>
        <w:t xml:space="preserve">Бюлетень для </w:t>
      </w:r>
      <w:r w:rsidR="000145EE" w:rsidRPr="00974D01">
        <w:rPr>
          <w:rFonts w:ascii="Times New Roman" w:hAnsi="Times New Roman" w:cs="Times New Roman"/>
          <w:color w:val="000000" w:themeColor="text1"/>
        </w:rPr>
        <w:t>кумулятивного</w:t>
      </w:r>
      <w:r w:rsidR="000145EE" w:rsidRPr="00974D01">
        <w:rPr>
          <w:rFonts w:ascii="Times New Roman" w:hAnsi="Times New Roman" w:cs="Times New Roman"/>
          <w:color w:val="000000" w:themeColor="text1"/>
        </w:rPr>
        <w:t xml:space="preserve"> </w:t>
      </w:r>
      <w:r w:rsidR="00CF5F24" w:rsidRPr="00974D01">
        <w:rPr>
          <w:rFonts w:ascii="Times New Roman" w:hAnsi="Times New Roman" w:cs="Times New Roman"/>
          <w:color w:val="000000" w:themeColor="text1"/>
        </w:rPr>
        <w:t>голосування з питань обрання органів Товариства буде розміщено у</w:t>
      </w:r>
      <w:r w:rsidR="000145EE">
        <w:rPr>
          <w:rFonts w:ascii="Times New Roman" w:hAnsi="Times New Roman" w:cs="Times New Roman"/>
          <w:color w:val="000000" w:themeColor="text1"/>
          <w:lang w:val="uk-UA"/>
        </w:rPr>
        <w:t xml:space="preserve"> </w:t>
      </w:r>
      <w:bookmarkStart w:id="0" w:name="_GoBack"/>
      <w:bookmarkEnd w:id="0"/>
      <w:r w:rsidR="00CF5F24" w:rsidRPr="00974D01">
        <w:rPr>
          <w:rFonts w:ascii="Times New Roman" w:hAnsi="Times New Roman" w:cs="Times New Roman"/>
          <w:color w:val="000000" w:themeColor="text1"/>
        </w:rPr>
        <w:t xml:space="preserve">вільному для акціонерів доступі </w:t>
      </w:r>
      <w:r w:rsidRPr="00974D01">
        <w:rPr>
          <w:rFonts w:ascii="Times New Roman" w:hAnsi="Times New Roman" w:cs="Times New Roman"/>
          <w:color w:val="000000" w:themeColor="text1"/>
          <w:lang w:val="uk-UA"/>
        </w:rPr>
        <w:t>23.12.2022</w:t>
      </w:r>
      <w:r w:rsidR="00CF5F24" w:rsidRPr="00974D01">
        <w:rPr>
          <w:rFonts w:ascii="Times New Roman" w:hAnsi="Times New Roman" w:cs="Times New Roman"/>
          <w:color w:val="000000" w:themeColor="text1"/>
        </w:rPr>
        <w:t xml:space="preserve"> на власному вебсайті Товариства</w:t>
      </w:r>
      <w:r w:rsidRPr="00974D01">
        <w:rPr>
          <w:color w:val="000000" w:themeColor="text1"/>
        </w:rPr>
        <w:t xml:space="preserve"> </w:t>
      </w:r>
      <w:r w:rsidRPr="00974D01">
        <w:rPr>
          <w:color w:val="000000" w:themeColor="text1"/>
          <w:lang w:val="uk-UA"/>
        </w:rPr>
        <w:t xml:space="preserve">: </w:t>
      </w:r>
      <w:r w:rsidRPr="00974D01">
        <w:rPr>
          <w:rFonts w:ascii="Times New Roman" w:hAnsi="Times New Roman" w:cs="Times New Roman"/>
          <w:color w:val="000000" w:themeColor="text1"/>
        </w:rPr>
        <w:t xml:space="preserve">http://www.enko.pat.ua/  </w:t>
      </w:r>
      <w:r w:rsidR="00CF5F24" w:rsidRPr="00974D01">
        <w:rPr>
          <w:rFonts w:ascii="Times New Roman" w:hAnsi="Times New Roman" w:cs="Times New Roman"/>
          <w:color w:val="000000" w:themeColor="text1"/>
        </w:rPr>
        <w:t>(розділ «Повідомлення про збори»).</w:t>
      </w:r>
    </w:p>
    <w:p w:rsidR="00CF5F24" w:rsidRPr="00974D01" w:rsidRDefault="00CF5F24" w:rsidP="00CF5F24">
      <w:pPr>
        <w:jc w:val="both"/>
        <w:rPr>
          <w:rFonts w:ascii="Times New Roman" w:hAnsi="Times New Roman" w:cs="Times New Roman"/>
          <w:color w:val="000000" w:themeColor="text1"/>
        </w:rPr>
      </w:pPr>
      <w:r w:rsidRPr="00974D01">
        <w:rPr>
          <w:rFonts w:ascii="Times New Roman" w:hAnsi="Times New Roman" w:cs="Times New Roman"/>
          <w:color w:val="000000" w:themeColor="text1"/>
        </w:rPr>
        <w:t xml:space="preserve">Дата складення переліку акціонерів, які мають право на участь у річних </w:t>
      </w:r>
      <w:r w:rsidR="009F72A8" w:rsidRPr="009F72A8">
        <w:rPr>
          <w:rFonts w:ascii="Times New Roman" w:hAnsi="Times New Roman" w:cs="Times New Roman"/>
          <w:color w:val="000000" w:themeColor="text1"/>
        </w:rPr>
        <w:t xml:space="preserve"> </w:t>
      </w:r>
      <w:r w:rsidRPr="00974D01">
        <w:rPr>
          <w:rFonts w:ascii="Times New Roman" w:hAnsi="Times New Roman" w:cs="Times New Roman"/>
          <w:color w:val="000000" w:themeColor="text1"/>
        </w:rPr>
        <w:t>Загальних зборах: станом на 24-00 год.</w:t>
      </w:r>
      <w:r w:rsidR="00DC4CF9" w:rsidRPr="00974D01">
        <w:rPr>
          <w:rFonts w:ascii="Times New Roman" w:hAnsi="Times New Roman" w:cs="Times New Roman"/>
          <w:color w:val="000000" w:themeColor="text1"/>
          <w:lang w:val="uk-UA"/>
        </w:rPr>
        <w:t xml:space="preserve"> 22</w:t>
      </w:r>
      <w:r w:rsidRPr="00974D01">
        <w:rPr>
          <w:rFonts w:ascii="Times New Roman" w:hAnsi="Times New Roman" w:cs="Times New Roman"/>
          <w:color w:val="000000" w:themeColor="text1"/>
        </w:rPr>
        <w:t>.</w:t>
      </w:r>
      <w:r w:rsidR="00DC4CF9" w:rsidRPr="00974D01">
        <w:rPr>
          <w:rFonts w:ascii="Times New Roman" w:hAnsi="Times New Roman" w:cs="Times New Roman"/>
          <w:color w:val="000000" w:themeColor="text1"/>
          <w:lang w:val="uk-UA"/>
        </w:rPr>
        <w:t>12</w:t>
      </w:r>
      <w:r w:rsidRPr="00974D01">
        <w:rPr>
          <w:rFonts w:ascii="Times New Roman" w:hAnsi="Times New Roman" w:cs="Times New Roman"/>
          <w:color w:val="000000" w:themeColor="text1"/>
        </w:rPr>
        <w:t>.2022 р.</w:t>
      </w:r>
    </w:p>
    <w:p w:rsidR="00B07F5B" w:rsidRPr="000D5F15" w:rsidRDefault="00B07F5B" w:rsidP="000D5F15">
      <w:pPr>
        <w:spacing w:line="240" w:lineRule="auto"/>
        <w:jc w:val="center"/>
        <w:rPr>
          <w:rFonts w:ascii="Times New Roman" w:hAnsi="Times New Roman" w:cs="Times New Roman"/>
          <w:b/>
        </w:rPr>
      </w:pPr>
      <w:r w:rsidRPr="000D5F15">
        <w:rPr>
          <w:rFonts w:ascii="Times New Roman" w:hAnsi="Times New Roman" w:cs="Times New Roman"/>
          <w:b/>
        </w:rPr>
        <w:t>ПРОЕКТ ПОРЯДКУ ДЕННОГО ДИСТАНЦІЙНИХ РІЧНИХ ЗАГАЛЬНИХ ЗБОРІВ</w:t>
      </w:r>
    </w:p>
    <w:p w:rsidR="00A24F7A" w:rsidRDefault="00B07F5B" w:rsidP="000D5F15">
      <w:pPr>
        <w:spacing w:line="240" w:lineRule="auto"/>
        <w:jc w:val="center"/>
        <w:rPr>
          <w:rFonts w:ascii="Times New Roman" w:hAnsi="Times New Roman" w:cs="Times New Roman"/>
        </w:rPr>
      </w:pPr>
      <w:r w:rsidRPr="000D5F15">
        <w:rPr>
          <w:rFonts w:ascii="Times New Roman" w:hAnsi="Times New Roman" w:cs="Times New Roman"/>
          <w:b/>
        </w:rPr>
        <w:t>з проектами рішень щодо кожного з питань, включених до проекту порядку денного</w:t>
      </w:r>
      <w:r w:rsidRPr="00B07F5B">
        <w:rPr>
          <w:rFonts w:ascii="Times New Roman" w:hAnsi="Times New Roman" w:cs="Times New Roman"/>
        </w:rPr>
        <w:t>:</w:t>
      </w:r>
    </w:p>
    <w:p w:rsidR="00DC4CF9" w:rsidRPr="00DC4CF9"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1. Про розгляд звіту Наглядової ради Товариства за 2021 рік та прийняття рішення за наслідками розгляду звіту Наглядової ради Товариства.</w:t>
      </w:r>
    </w:p>
    <w:p w:rsidR="00DC4CF9" w:rsidRPr="00DC4CF9"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Проект рішення: Звіт Наглядової ради про результати діяльності Товариства за 2021 рік затвердити та прийняти його до уваги.</w:t>
      </w:r>
    </w:p>
    <w:p w:rsidR="00DC4CF9" w:rsidRPr="00DC4CF9"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2. Про розгляд звіту Правління про результати фінансово-господарської діяльності Товариства за 2021 рік та прийняття рішення за наслідками розгляду звіту Правління Товариства.</w:t>
      </w:r>
    </w:p>
    <w:p w:rsidR="00DC4CF9" w:rsidRPr="00DC4CF9"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Проект рішення: Звіт Правління про результати фінансово-господарської діяльності Товариства за 2021 рік затвердити, та прийняти його до уваги.</w:t>
      </w:r>
    </w:p>
    <w:p w:rsidR="00DC4CF9" w:rsidRPr="00DC4CF9"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3. Про затвердження балансу та річного звіту Товариства за 2021 рік.</w:t>
      </w:r>
    </w:p>
    <w:p w:rsidR="00DC4CF9" w:rsidRPr="00DC4CF9"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Проект рішення: Затвердити баланс та річний звіт Товариства за 2021 р</w:t>
      </w:r>
      <w:r w:rsidR="00217DF8">
        <w:rPr>
          <w:rFonts w:ascii="Times New Roman" w:hAnsi="Times New Roman" w:cs="Times New Roman"/>
          <w:bCs/>
          <w:iCs/>
          <w:sz w:val="24"/>
          <w:szCs w:val="24"/>
          <w:lang w:val="uk-UA"/>
        </w:rPr>
        <w:t>ік.</w:t>
      </w:r>
    </w:p>
    <w:p w:rsidR="00DC4CF9" w:rsidRPr="00DC4CF9"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4. Про розподіл прибутку/збитку Товариства за 2021 рік.</w:t>
      </w:r>
    </w:p>
    <w:p w:rsidR="00DC4CF9" w:rsidRPr="00DC4CF9"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Проект рішення: Збитки отримані Товариством за підсумками роботи в 2021 році, покривати за рахунок прибутку майбутніх періодів.</w:t>
      </w:r>
    </w:p>
    <w:p w:rsidR="00DC4CF9" w:rsidRPr="00DC4CF9" w:rsidRDefault="00DC4CF9" w:rsidP="00DC4CF9">
      <w:pPr>
        <w:spacing w:line="240" w:lineRule="auto"/>
        <w:jc w:val="both"/>
        <w:rPr>
          <w:rFonts w:ascii="Times New Roman" w:hAnsi="Times New Roman" w:cs="Times New Roman"/>
          <w:bCs/>
          <w:iCs/>
          <w:sz w:val="24"/>
          <w:szCs w:val="24"/>
          <w:lang w:val="uk-UA"/>
        </w:rPr>
      </w:pPr>
    </w:p>
    <w:p w:rsidR="00DC4CF9" w:rsidRPr="00DC4CF9"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lastRenderedPageBreak/>
        <w:t>5. Припинення повноважень членів Наглядової ради Товариства.</w:t>
      </w:r>
    </w:p>
    <w:p w:rsidR="00974D01"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 xml:space="preserve">Проект рішення: </w:t>
      </w:r>
      <w:r w:rsidR="00974D01" w:rsidRPr="00974D01">
        <w:rPr>
          <w:rFonts w:ascii="Times New Roman" w:hAnsi="Times New Roman" w:cs="Times New Roman"/>
          <w:bCs/>
          <w:iCs/>
          <w:sz w:val="24"/>
          <w:szCs w:val="24"/>
          <w:lang w:val="uk-UA"/>
        </w:rPr>
        <w:t xml:space="preserve">Припинити повноваження членів Наглядової ради Товариства в складі Супрун Б.Ф., Ткачук С.Г., Крамар </w:t>
      </w:r>
      <w:r w:rsidR="00974D01">
        <w:rPr>
          <w:rFonts w:ascii="Times New Roman" w:hAnsi="Times New Roman" w:cs="Times New Roman"/>
          <w:bCs/>
          <w:iCs/>
          <w:sz w:val="24"/>
          <w:szCs w:val="24"/>
          <w:lang w:val="uk-UA"/>
        </w:rPr>
        <w:t>В.М., Нагаєв В.М., Якимчук Н.В.</w:t>
      </w:r>
    </w:p>
    <w:p w:rsidR="00DC4CF9" w:rsidRPr="00DC4CF9"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6. Обрання членів Наглядової ради Товариства.</w:t>
      </w:r>
    </w:p>
    <w:p w:rsidR="00DC4CF9" w:rsidRPr="00DC4CF9"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 xml:space="preserve">Проект рішення: </w:t>
      </w:r>
      <w:r w:rsidR="00974D01" w:rsidRPr="00974D01">
        <w:rPr>
          <w:rFonts w:ascii="Times New Roman" w:hAnsi="Times New Roman" w:cs="Times New Roman"/>
          <w:bCs/>
          <w:iCs/>
          <w:sz w:val="24"/>
          <w:szCs w:val="24"/>
          <w:lang w:val="uk-UA"/>
        </w:rPr>
        <w:t>Обрання Наглядової ради здійснюється шляхом кумулятивного голосування.</w:t>
      </w:r>
    </w:p>
    <w:p w:rsidR="00DC4CF9" w:rsidRPr="00DC4CF9"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 xml:space="preserve"> 7.Затвердження умов цивільно-правових або трудових договорів, що укладатимуться з членами Наглядової ради Товариства, встановлення розміру їх винагороди, визначення особи, яка уповноважується на підписання цивільно-правових договорів з членами Наглядової ради  Товариства.</w:t>
      </w:r>
    </w:p>
    <w:p w:rsidR="00DC4CF9" w:rsidRPr="00DC4CF9"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Проект рішення:  Встановити, що члени Наглядової ради Товариства здійснюють свої повноваження безоплатно. Затвердити умови цивільно-правових договорів, що укладатимуться з членами Наглядової ради Товариства. Доручити Голові правління Товариства укласти та підписати від імені Товариства з обраними членами Наглядової ради Товариства цивільно-правові договори.</w:t>
      </w:r>
    </w:p>
    <w:p w:rsidR="00DC4CF9" w:rsidRPr="00DC4CF9"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8.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та надання повноважень на укладання таких правочинів.</w:t>
      </w:r>
    </w:p>
    <w:p w:rsidR="00DC4CF9" w:rsidRPr="00DC4CF9"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 xml:space="preserve">Проект рішення: Надати попередню згоду на вчинення значних правочинів (ринкова вартість майна або послуг, що може бути предметом даних правочинів, перевищує 25% вартості активів Товариства за даними останньої річної фінансової звітності Товариства), які вчинятимуться Товариством не більш як одного року з моменту прийняття цього рішення Загальними зборами акціонерів, гранична сукупна вартість яких не може перевищувати </w:t>
      </w:r>
      <w:r w:rsidRPr="009F72A8">
        <w:rPr>
          <w:rFonts w:ascii="Times New Roman" w:hAnsi="Times New Roman" w:cs="Times New Roman"/>
          <w:bCs/>
          <w:iCs/>
          <w:sz w:val="24"/>
          <w:szCs w:val="24"/>
          <w:lang w:val="uk-UA"/>
        </w:rPr>
        <w:t xml:space="preserve">12 000 000,00 грн. (дванадцять мільйонів гривень 00 копійок), а </w:t>
      </w:r>
      <w:r w:rsidRPr="00DC4CF9">
        <w:rPr>
          <w:rFonts w:ascii="Times New Roman" w:hAnsi="Times New Roman" w:cs="Times New Roman"/>
          <w:bCs/>
          <w:iCs/>
          <w:sz w:val="24"/>
          <w:szCs w:val="24"/>
          <w:lang w:val="uk-UA"/>
        </w:rPr>
        <w:t>саме: укладання Товариством правочинів щодо надання або отримання послуг, виконання робіт,</w:t>
      </w:r>
    </w:p>
    <w:p w:rsidR="00DC4CF9" w:rsidRPr="00DC4CF9"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передачі або отримання в управління будь-яким способом основних фондів (засобів), придбання або відчуження оборотних і необоротних активів, комісії, кредитів, позик, фінансової допомоги, поруки (гарантії), застави та інших правочинів.</w:t>
      </w:r>
    </w:p>
    <w:p w:rsidR="00B07F5B" w:rsidRDefault="00DC4CF9" w:rsidP="00DC4CF9">
      <w:pPr>
        <w:spacing w:line="240" w:lineRule="auto"/>
        <w:jc w:val="both"/>
        <w:rPr>
          <w:rFonts w:ascii="Times New Roman" w:hAnsi="Times New Roman" w:cs="Times New Roman"/>
          <w:bCs/>
          <w:iCs/>
          <w:sz w:val="24"/>
          <w:szCs w:val="24"/>
          <w:lang w:val="uk-UA"/>
        </w:rPr>
      </w:pPr>
      <w:r w:rsidRPr="00DC4CF9">
        <w:rPr>
          <w:rFonts w:ascii="Times New Roman" w:hAnsi="Times New Roman" w:cs="Times New Roman"/>
          <w:bCs/>
          <w:iCs/>
          <w:sz w:val="24"/>
          <w:szCs w:val="24"/>
          <w:lang w:val="uk-UA"/>
        </w:rPr>
        <w:t>Уповноважити Керівника Товариства або особу, що виконує його обов'язки, протягом 1(одного) року з дати проведення цих Загальних зборів здійснювати всі необхідні дії щодо вчинення від імені Товариства значних правочинів. Для укладення та виконання значних правочинів, на вчинення яких було надано згоду Загальними зборами акціонерів Товариства не вимагається прийняття будь-якого наступного рішення Загальними зборами акціонерів, Наглядовою радою або іншим органом управління Товариства</w:t>
      </w:r>
    </w:p>
    <w:p w:rsidR="000D5F15" w:rsidRDefault="002D1876" w:rsidP="002D1876">
      <w:pPr>
        <w:spacing w:line="240" w:lineRule="auto"/>
        <w:jc w:val="both"/>
        <w:rPr>
          <w:rFonts w:ascii="Times New Roman" w:hAnsi="Times New Roman" w:cs="Times New Roman"/>
          <w:sz w:val="24"/>
          <w:szCs w:val="24"/>
          <w:lang w:val="uk-UA"/>
        </w:rPr>
      </w:pPr>
      <w:r w:rsidRPr="002D1876">
        <w:rPr>
          <w:rFonts w:ascii="Times New Roman" w:hAnsi="Times New Roman" w:cs="Times New Roman"/>
          <w:b/>
          <w:sz w:val="24"/>
          <w:szCs w:val="24"/>
          <w:lang w:val="uk-UA"/>
        </w:rPr>
        <w:t>Адреса сторінки на власному вебсайті Товариства, на якій розміщена інформація з проектом рішень щодо кожного з питань, включених до проекту порядку денного, а також інформація, зазначена в пункті 44 Тимчасового порядку:</w:t>
      </w:r>
      <w:r w:rsidRPr="002D1876">
        <w:t xml:space="preserve"> </w:t>
      </w:r>
      <w:hyperlink r:id="rId4" w:history="1">
        <w:r w:rsidR="009F4FE2" w:rsidRPr="007035D1">
          <w:rPr>
            <w:rStyle w:val="a5"/>
            <w:rFonts w:ascii="Times New Roman" w:hAnsi="Times New Roman" w:cs="Times New Roman"/>
            <w:sz w:val="24"/>
            <w:szCs w:val="24"/>
            <w:lang w:val="uk-UA"/>
          </w:rPr>
          <w:t>http://www.enko.pat.ua/</w:t>
        </w:r>
      </w:hyperlink>
      <w:r w:rsidR="009F4FE2">
        <w:rPr>
          <w:rFonts w:ascii="Times New Roman" w:hAnsi="Times New Roman" w:cs="Times New Roman"/>
          <w:sz w:val="24"/>
          <w:szCs w:val="24"/>
          <w:lang w:val="uk-UA"/>
        </w:rPr>
        <w:t xml:space="preserve"> </w:t>
      </w:r>
      <w:r w:rsidRPr="002D1876">
        <w:rPr>
          <w:rFonts w:ascii="Times New Roman" w:hAnsi="Times New Roman" w:cs="Times New Roman"/>
          <w:sz w:val="24"/>
          <w:szCs w:val="24"/>
          <w:lang w:val="uk-UA"/>
        </w:rPr>
        <w:t xml:space="preserve">  (розділ «Повідомлення про</w:t>
      </w:r>
      <w:r w:rsidR="002E768A">
        <w:rPr>
          <w:rFonts w:ascii="Times New Roman" w:hAnsi="Times New Roman" w:cs="Times New Roman"/>
          <w:sz w:val="24"/>
          <w:szCs w:val="24"/>
          <w:lang w:val="uk-UA"/>
        </w:rPr>
        <w:t xml:space="preserve"> </w:t>
      </w:r>
      <w:r w:rsidRPr="002D1876">
        <w:rPr>
          <w:rFonts w:ascii="Times New Roman" w:hAnsi="Times New Roman" w:cs="Times New Roman"/>
          <w:sz w:val="24"/>
          <w:szCs w:val="24"/>
          <w:lang w:val="uk-UA"/>
        </w:rPr>
        <w:t>збор</w:t>
      </w:r>
      <w:r w:rsidR="00CC75FB">
        <w:rPr>
          <w:rFonts w:ascii="Times New Roman" w:hAnsi="Times New Roman" w:cs="Times New Roman"/>
          <w:sz w:val="24"/>
          <w:szCs w:val="24"/>
          <w:lang w:val="uk-UA"/>
        </w:rPr>
        <w:t>и</w:t>
      </w:r>
      <w:r w:rsidRPr="002D1876">
        <w:rPr>
          <w:rFonts w:ascii="Times New Roman" w:hAnsi="Times New Roman" w:cs="Times New Roman"/>
          <w:sz w:val="24"/>
          <w:szCs w:val="24"/>
          <w:lang w:val="uk-UA"/>
        </w:rPr>
        <w:t>»).</w:t>
      </w:r>
    </w:p>
    <w:p w:rsidR="002D1876" w:rsidRPr="002D1876" w:rsidRDefault="002D1876" w:rsidP="002D1876">
      <w:pPr>
        <w:spacing w:line="240" w:lineRule="auto"/>
        <w:jc w:val="both"/>
        <w:rPr>
          <w:rFonts w:ascii="Times New Roman" w:hAnsi="Times New Roman" w:cs="Times New Roman"/>
          <w:sz w:val="24"/>
          <w:szCs w:val="24"/>
          <w:lang w:val="uk-UA"/>
        </w:rPr>
      </w:pPr>
      <w:r w:rsidRPr="009B03AD">
        <w:rPr>
          <w:rFonts w:ascii="Times New Roman" w:hAnsi="Times New Roman" w:cs="Times New Roman"/>
          <w:b/>
          <w:lang w:val="uk-UA"/>
        </w:rPr>
        <w:t>Порядок ознайомлення акціонерів з матеріалами, з якими вони можуть ознайомитись під час підготовки до річних Загальних зборів акціонерів, включаючи інформацію про посадову особу Товариства, відповідальну за порядок ознайомлення акціонерів з документами, контактний номер телефону такої особи</w:t>
      </w:r>
      <w:r w:rsidRPr="009B03AD">
        <w:rPr>
          <w:rFonts w:ascii="Times New Roman" w:hAnsi="Times New Roman" w:cs="Times New Roman"/>
          <w:lang w:val="uk-UA"/>
        </w:rPr>
        <w:t>:</w:t>
      </w:r>
    </w:p>
    <w:p w:rsidR="00B07F5B" w:rsidRPr="00B07F5B" w:rsidRDefault="00B07F5B" w:rsidP="00B07F5B">
      <w:pPr>
        <w:jc w:val="both"/>
        <w:rPr>
          <w:rFonts w:ascii="Times New Roman" w:hAnsi="Times New Roman" w:cs="Times New Roman"/>
          <w:lang w:val="uk-UA"/>
        </w:rPr>
      </w:pPr>
      <w:r w:rsidRPr="00B07F5B">
        <w:rPr>
          <w:rFonts w:ascii="Times New Roman" w:hAnsi="Times New Roman" w:cs="Times New Roman"/>
          <w:lang w:val="uk-UA"/>
        </w:rPr>
        <w:t>1. Кожний акціонер має право отримати, а ПрАТ «</w:t>
      </w:r>
      <w:r w:rsidR="000D5F15">
        <w:rPr>
          <w:rFonts w:ascii="Times New Roman" w:hAnsi="Times New Roman" w:cs="Times New Roman"/>
          <w:lang w:val="uk-UA"/>
        </w:rPr>
        <w:t>ЕНКО</w:t>
      </w:r>
      <w:r w:rsidRPr="00B07F5B">
        <w:rPr>
          <w:rFonts w:ascii="Times New Roman" w:hAnsi="Times New Roman" w:cs="Times New Roman"/>
          <w:lang w:val="uk-UA"/>
        </w:rPr>
        <w:t>» зобов'язан</w:t>
      </w:r>
      <w:r w:rsidR="000D5F15">
        <w:rPr>
          <w:rFonts w:ascii="Times New Roman" w:hAnsi="Times New Roman" w:cs="Times New Roman"/>
          <w:lang w:val="uk-UA"/>
        </w:rPr>
        <w:t>е</w:t>
      </w:r>
      <w:r w:rsidRPr="00B07F5B">
        <w:rPr>
          <w:rFonts w:ascii="Times New Roman" w:hAnsi="Times New Roman" w:cs="Times New Roman"/>
          <w:lang w:val="uk-UA"/>
        </w:rPr>
        <w:t xml:space="preserve">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 Від дати надсилання повідомлення про проведення загальних зборів до дати проведення загальних зборів акціонерів ПрАТ «</w:t>
      </w:r>
      <w:r w:rsidR="000D5F15">
        <w:rPr>
          <w:rFonts w:ascii="Times New Roman" w:hAnsi="Times New Roman" w:cs="Times New Roman"/>
          <w:lang w:val="uk-UA"/>
        </w:rPr>
        <w:t>ЕНКО</w:t>
      </w:r>
      <w:r w:rsidRPr="00B07F5B">
        <w:rPr>
          <w:rFonts w:ascii="Times New Roman" w:hAnsi="Times New Roman" w:cs="Times New Roman"/>
          <w:lang w:val="uk-UA"/>
        </w:rPr>
        <w:t xml:space="preserve">» </w:t>
      </w:r>
      <w:r w:rsidRPr="00B07F5B">
        <w:rPr>
          <w:rFonts w:ascii="Times New Roman" w:hAnsi="Times New Roman" w:cs="Times New Roman"/>
          <w:lang w:val="uk-UA"/>
        </w:rPr>
        <w:lastRenderedPageBreak/>
        <w:t>надає акціонерам можливість ознайомитись з документами, необхідними для прийняття рішень з питань порядку денного.Ознайомитись із документами, необхідними для прийняття рішень з питань порядку денного, акціонери можуть шляхом направлення до ПрАТ «</w:t>
      </w:r>
      <w:r w:rsidR="000D5F15">
        <w:rPr>
          <w:rFonts w:ascii="Times New Roman" w:hAnsi="Times New Roman" w:cs="Times New Roman"/>
          <w:lang w:val="uk-UA"/>
        </w:rPr>
        <w:t>ЕНКО</w:t>
      </w:r>
      <w:r w:rsidRPr="00B07F5B">
        <w:rPr>
          <w:rFonts w:ascii="Times New Roman" w:hAnsi="Times New Roman" w:cs="Times New Roman"/>
          <w:lang w:val="uk-UA"/>
        </w:rPr>
        <w:t xml:space="preserve">» запиту </w:t>
      </w:r>
      <w:r w:rsidR="009B03AD">
        <w:rPr>
          <w:rFonts w:ascii="Times New Roman" w:hAnsi="Times New Roman" w:cs="Times New Roman"/>
          <w:lang w:val="uk-UA"/>
        </w:rPr>
        <w:t xml:space="preserve">на </w:t>
      </w:r>
      <w:r w:rsidR="009B03AD" w:rsidRPr="009B03AD">
        <w:rPr>
          <w:rFonts w:ascii="Times New Roman" w:hAnsi="Times New Roman" w:cs="Times New Roman"/>
          <w:lang w:val="uk-UA"/>
        </w:rPr>
        <w:t>електронн</w:t>
      </w:r>
      <w:r w:rsidR="009B03AD">
        <w:rPr>
          <w:rFonts w:ascii="Times New Roman" w:hAnsi="Times New Roman" w:cs="Times New Roman"/>
          <w:lang w:val="uk-UA"/>
        </w:rPr>
        <w:t>у</w:t>
      </w:r>
      <w:r w:rsidR="009B03AD" w:rsidRPr="009B03AD">
        <w:rPr>
          <w:rFonts w:ascii="Times New Roman" w:hAnsi="Times New Roman" w:cs="Times New Roman"/>
          <w:lang w:val="uk-UA"/>
        </w:rPr>
        <w:t xml:space="preserve"> пошт</w:t>
      </w:r>
      <w:r w:rsidR="009B03AD">
        <w:rPr>
          <w:rFonts w:ascii="Times New Roman" w:hAnsi="Times New Roman" w:cs="Times New Roman"/>
          <w:lang w:val="uk-UA"/>
        </w:rPr>
        <w:t>у</w:t>
      </w:r>
      <w:r w:rsidR="009B03AD" w:rsidRPr="009B03AD">
        <w:rPr>
          <w:rFonts w:ascii="Times New Roman" w:hAnsi="Times New Roman" w:cs="Times New Roman"/>
          <w:lang w:val="uk-UA"/>
        </w:rPr>
        <w:t xml:space="preserve"> </w:t>
      </w:r>
      <w:hyperlink r:id="rId5" w:history="1">
        <w:r w:rsidR="008A63E3" w:rsidRPr="007035D1">
          <w:rPr>
            <w:rStyle w:val="a5"/>
            <w:rFonts w:ascii="Times New Roman" w:hAnsi="Times New Roman" w:cs="Times New Roman"/>
            <w:lang w:val="uk-UA"/>
          </w:rPr>
          <w:t>netis1962@ukr.net</w:t>
        </w:r>
      </w:hyperlink>
      <w:r w:rsidR="008A63E3">
        <w:rPr>
          <w:rFonts w:ascii="Times New Roman" w:hAnsi="Times New Roman" w:cs="Times New Roman"/>
          <w:lang w:val="uk-UA"/>
        </w:rPr>
        <w:t xml:space="preserve"> </w:t>
      </w:r>
      <w:r w:rsidRPr="009B03AD">
        <w:rPr>
          <w:rFonts w:ascii="Times New Roman" w:hAnsi="Times New Roman" w:cs="Times New Roman"/>
          <w:lang w:val="uk-UA"/>
        </w:rPr>
        <w:t>.</w:t>
      </w:r>
    </w:p>
    <w:p w:rsidR="00B07F5B" w:rsidRPr="00B07F5B" w:rsidRDefault="00B07F5B" w:rsidP="00B07F5B">
      <w:pPr>
        <w:jc w:val="both"/>
        <w:rPr>
          <w:rFonts w:ascii="Times New Roman" w:hAnsi="Times New Roman" w:cs="Times New Roman"/>
          <w:lang w:val="uk-UA"/>
        </w:rPr>
      </w:pPr>
      <w:r w:rsidRPr="00B07F5B">
        <w:rPr>
          <w:rFonts w:ascii="Times New Roman" w:hAnsi="Times New Roman" w:cs="Times New Roman"/>
          <w:lang w:val="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6" w:history="1">
        <w:r w:rsidR="008A63E3" w:rsidRPr="007035D1">
          <w:rPr>
            <w:rStyle w:val="a5"/>
            <w:rFonts w:ascii="Times New Roman" w:hAnsi="Times New Roman" w:cs="Times New Roman"/>
            <w:lang w:val="uk-UA"/>
          </w:rPr>
          <w:t>netis1962@ukr.net</w:t>
        </w:r>
      </w:hyperlink>
      <w:r w:rsidR="008A63E3">
        <w:rPr>
          <w:rFonts w:ascii="Times New Roman" w:hAnsi="Times New Roman" w:cs="Times New Roman"/>
          <w:lang w:val="uk-UA"/>
        </w:rPr>
        <w:t xml:space="preserve">. </w:t>
      </w:r>
      <w:r w:rsidRPr="00B07F5B">
        <w:rPr>
          <w:rFonts w:ascii="Times New Roman" w:hAnsi="Times New Roman" w:cs="Times New Roman"/>
          <w:lang w:val="uk-UA"/>
        </w:rPr>
        <w:t xml:space="preserve">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rsidR="00B07F5B" w:rsidRPr="00B07F5B" w:rsidRDefault="00B07F5B" w:rsidP="00B07F5B">
      <w:pPr>
        <w:jc w:val="both"/>
        <w:rPr>
          <w:rFonts w:ascii="Times New Roman" w:hAnsi="Times New Roman" w:cs="Times New Roman"/>
          <w:lang w:val="uk-UA"/>
        </w:rPr>
      </w:pPr>
      <w:r w:rsidRPr="00B07F5B">
        <w:rPr>
          <w:rFonts w:ascii="Times New Roman" w:hAnsi="Times New Roman" w:cs="Times New Roman"/>
          <w:lang w:val="uk-UA"/>
        </w:rPr>
        <w:t>2. ПрАТ «</w:t>
      </w:r>
      <w:r w:rsidR="000D5F15">
        <w:rPr>
          <w:rFonts w:ascii="Times New Roman" w:hAnsi="Times New Roman" w:cs="Times New Roman"/>
          <w:lang w:val="uk-UA"/>
        </w:rPr>
        <w:t>ЕНКО</w:t>
      </w:r>
      <w:r w:rsidRPr="00B07F5B">
        <w:rPr>
          <w:rFonts w:ascii="Times New Roman" w:hAnsi="Times New Roman" w:cs="Times New Roman"/>
          <w:lang w:val="uk-UA"/>
        </w:rPr>
        <w:t xml:space="preserve">» до дати проведення загальних зборів надає відповіді на запитання акціонера щодо питань, включених до проекту порядку денного загальних зборів та порядку денного загальних зборів. Відповідні запити направляються акціонерами на адресу електронної пошти </w:t>
      </w:r>
      <w:hyperlink r:id="rId7" w:history="1">
        <w:r w:rsidR="008A63E3" w:rsidRPr="007035D1">
          <w:rPr>
            <w:rStyle w:val="a5"/>
            <w:rFonts w:ascii="Times New Roman" w:hAnsi="Times New Roman" w:cs="Times New Roman"/>
            <w:lang w:val="uk-UA"/>
          </w:rPr>
          <w:t>netis1962@ukr.net</w:t>
        </w:r>
      </w:hyperlink>
      <w:r w:rsidR="008A63E3">
        <w:rPr>
          <w:rFonts w:ascii="Times New Roman" w:hAnsi="Times New Roman" w:cs="Times New Roman"/>
          <w:lang w:val="uk-UA"/>
        </w:rPr>
        <w:t xml:space="preserve"> </w:t>
      </w:r>
      <w:r w:rsidRPr="00B07F5B">
        <w:rPr>
          <w:rFonts w:ascii="Times New Roman" w:hAnsi="Times New Roman" w:cs="Times New Roman"/>
          <w:lang w:val="uk-UA"/>
        </w:rPr>
        <w:t>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ПрАТ «</w:t>
      </w:r>
      <w:r w:rsidR="000D5F15">
        <w:rPr>
          <w:rFonts w:ascii="Times New Roman" w:hAnsi="Times New Roman" w:cs="Times New Roman"/>
          <w:lang w:val="uk-UA"/>
        </w:rPr>
        <w:t>ЕНКО</w:t>
      </w:r>
      <w:r w:rsidRPr="00B07F5B">
        <w:rPr>
          <w:rFonts w:ascii="Times New Roman" w:hAnsi="Times New Roman" w:cs="Times New Roman"/>
          <w:lang w:val="uk-UA"/>
        </w:rPr>
        <w:t xml:space="preserve">»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акціонерів, з якої надійшов належним чином оформлений запит, із засвідченням відповіді кваліфікованим електронним підписом уповноваженої особи. </w:t>
      </w:r>
    </w:p>
    <w:p w:rsidR="00B07F5B" w:rsidRDefault="009B03AD" w:rsidP="00B07F5B">
      <w:pPr>
        <w:jc w:val="both"/>
        <w:rPr>
          <w:rFonts w:ascii="Times New Roman" w:hAnsi="Times New Roman" w:cs="Times New Roman"/>
          <w:lang w:val="uk-UA"/>
        </w:rPr>
      </w:pPr>
      <w:r w:rsidRPr="009B03AD">
        <w:rPr>
          <w:rFonts w:ascii="Times New Roman" w:hAnsi="Times New Roman" w:cs="Times New Roman"/>
          <w:lang w:val="uk-UA"/>
        </w:rPr>
        <w:t>Член наглядової ради ПрАТ "ЕНКО" Якимчук Наталія Василівна, тел.</w:t>
      </w:r>
      <w:r w:rsidR="002E0547" w:rsidRPr="002E0547">
        <w:t xml:space="preserve"> </w:t>
      </w:r>
      <w:r w:rsidR="002E0547" w:rsidRPr="002E0547">
        <w:rPr>
          <w:rFonts w:ascii="Times New Roman" w:hAnsi="Times New Roman" w:cs="Times New Roman"/>
          <w:lang w:val="uk-UA"/>
        </w:rPr>
        <w:t>+38</w:t>
      </w:r>
      <w:r w:rsidR="002E0547">
        <w:rPr>
          <w:rFonts w:ascii="Times New Roman" w:hAnsi="Times New Roman" w:cs="Times New Roman"/>
          <w:lang w:val="uk-UA"/>
        </w:rPr>
        <w:t>(</w:t>
      </w:r>
      <w:r w:rsidRPr="009B03AD">
        <w:rPr>
          <w:rFonts w:ascii="Times New Roman" w:hAnsi="Times New Roman" w:cs="Times New Roman"/>
          <w:lang w:val="uk-UA"/>
        </w:rPr>
        <w:t>0332</w:t>
      </w:r>
      <w:r w:rsidR="002E0547">
        <w:rPr>
          <w:rFonts w:ascii="Times New Roman" w:hAnsi="Times New Roman" w:cs="Times New Roman"/>
          <w:lang w:val="uk-UA"/>
        </w:rPr>
        <w:t>)</w:t>
      </w:r>
      <w:r w:rsidRPr="009B03AD">
        <w:rPr>
          <w:rFonts w:ascii="Times New Roman" w:hAnsi="Times New Roman" w:cs="Times New Roman"/>
          <w:lang w:val="uk-UA"/>
        </w:rPr>
        <w:t xml:space="preserve"> 785528</w:t>
      </w:r>
      <w:r w:rsidR="001419B1">
        <w:rPr>
          <w:rFonts w:ascii="Times New Roman" w:hAnsi="Times New Roman" w:cs="Times New Roman"/>
          <w:lang w:val="uk-UA"/>
        </w:rPr>
        <w:t>,</w:t>
      </w:r>
      <w:r w:rsidRPr="009B03AD">
        <w:rPr>
          <w:rFonts w:ascii="Times New Roman" w:hAnsi="Times New Roman" w:cs="Times New Roman"/>
          <w:lang w:val="uk-UA"/>
        </w:rPr>
        <w:t xml:space="preserve"> є посадовою особою Товариства, відповідальною за порядок ознайомлення акціонерів з документами, необхідними для  прийняття рішень з питань порядку денного Загальних зборів під час підготовки до річних Загальних зборів акціонерів Товариства</w:t>
      </w:r>
      <w:r w:rsidR="000D5F15" w:rsidRPr="000D5F15">
        <w:rPr>
          <w:rFonts w:ascii="Times New Roman" w:hAnsi="Times New Roman" w:cs="Times New Roman"/>
          <w:lang w:val="uk-UA"/>
        </w:rPr>
        <w:t>.</w:t>
      </w:r>
    </w:p>
    <w:p w:rsidR="009B03AD" w:rsidRPr="009B03AD" w:rsidRDefault="009B03AD" w:rsidP="00B07F5B">
      <w:pPr>
        <w:jc w:val="both"/>
        <w:rPr>
          <w:rFonts w:ascii="Times New Roman" w:hAnsi="Times New Roman" w:cs="Times New Roman"/>
          <w:lang w:val="uk-UA"/>
        </w:rPr>
      </w:pPr>
      <w:r w:rsidRPr="009B03AD">
        <w:rPr>
          <w:rFonts w:ascii="Times New Roman" w:hAnsi="Times New Roman" w:cs="Times New Roman"/>
          <w:b/>
        </w:rPr>
        <w:t>Про права, надані акціонерам відповідно до вимог закону, якими вони можуть користуватися після отримання повідомлення про проведення загальних зборів акціонерів, а також строк, протягом якого такі права можуть використовуватися</w:t>
      </w:r>
      <w:r w:rsidRPr="009B03AD">
        <w:rPr>
          <w:rFonts w:ascii="Times New Roman" w:hAnsi="Times New Roman" w:cs="Times New Roman"/>
        </w:rPr>
        <w:t>:</w:t>
      </w:r>
    </w:p>
    <w:p w:rsidR="00AC3FC8" w:rsidRPr="00AC3FC8" w:rsidRDefault="00AC3FC8" w:rsidP="00AC3FC8">
      <w:pPr>
        <w:jc w:val="both"/>
        <w:rPr>
          <w:rFonts w:ascii="Times New Roman" w:hAnsi="Times New Roman" w:cs="Times New Roman"/>
          <w:lang w:val="uk-UA"/>
        </w:rPr>
      </w:pPr>
      <w:r w:rsidRPr="00AC3FC8">
        <w:rPr>
          <w:rFonts w:ascii="Times New Roman" w:hAnsi="Times New Roman" w:cs="Times New Roman"/>
          <w:lang w:val="uk-UA"/>
        </w:rPr>
        <w:t>Кожний акціонер Товариства має право внести пропозиції щодо питань, включених до</w:t>
      </w:r>
      <w:r>
        <w:rPr>
          <w:rFonts w:ascii="Times New Roman" w:hAnsi="Times New Roman" w:cs="Times New Roman"/>
          <w:lang w:val="uk-UA"/>
        </w:rPr>
        <w:t xml:space="preserve"> </w:t>
      </w:r>
      <w:r w:rsidRPr="00AC3FC8">
        <w:rPr>
          <w:rFonts w:ascii="Times New Roman" w:hAnsi="Times New Roman" w:cs="Times New Roman"/>
          <w:lang w:val="uk-UA"/>
        </w:rPr>
        <w:t>проекту порядку денного річних Загальних зборів Товариства. Пропозиції вносяться не пізніше ніж за 20 днів до дати</w:t>
      </w:r>
      <w:r>
        <w:rPr>
          <w:rFonts w:ascii="Times New Roman" w:hAnsi="Times New Roman" w:cs="Times New Roman"/>
          <w:lang w:val="uk-UA"/>
        </w:rPr>
        <w:t xml:space="preserve"> </w:t>
      </w:r>
      <w:r w:rsidRPr="00AC3FC8">
        <w:rPr>
          <w:rFonts w:ascii="Times New Roman" w:hAnsi="Times New Roman" w:cs="Times New Roman"/>
          <w:lang w:val="uk-UA"/>
        </w:rPr>
        <w:t>проведення річних Загальних зборів Товариства, а щодо кандидатів до складу органів Товариства - не пізніше ніж за</w:t>
      </w:r>
      <w:r>
        <w:rPr>
          <w:rFonts w:ascii="Times New Roman" w:hAnsi="Times New Roman" w:cs="Times New Roman"/>
          <w:lang w:val="uk-UA"/>
        </w:rPr>
        <w:t xml:space="preserve"> </w:t>
      </w:r>
      <w:r w:rsidRPr="00AC3FC8">
        <w:rPr>
          <w:rFonts w:ascii="Times New Roman" w:hAnsi="Times New Roman" w:cs="Times New Roman"/>
          <w:lang w:val="uk-UA"/>
        </w:rPr>
        <w:t>сім днів до дати проведення річних Загальних зборів. Пропозиції щодо включення нових питань до проекту порядку</w:t>
      </w:r>
      <w:r>
        <w:rPr>
          <w:rFonts w:ascii="Times New Roman" w:hAnsi="Times New Roman" w:cs="Times New Roman"/>
          <w:lang w:val="uk-UA"/>
        </w:rPr>
        <w:t xml:space="preserve"> </w:t>
      </w:r>
      <w:r w:rsidRPr="00AC3FC8">
        <w:rPr>
          <w:rFonts w:ascii="Times New Roman" w:hAnsi="Times New Roman" w:cs="Times New Roman"/>
          <w:lang w:val="uk-UA"/>
        </w:rPr>
        <w:t>денного повинні містити відповідні проекти рішень з цих питань. Пропозиція до проекту порядку денного річних</w:t>
      </w:r>
      <w:r>
        <w:rPr>
          <w:rFonts w:ascii="Times New Roman" w:hAnsi="Times New Roman" w:cs="Times New Roman"/>
          <w:lang w:val="uk-UA"/>
        </w:rPr>
        <w:t xml:space="preserve"> </w:t>
      </w:r>
      <w:r w:rsidRPr="00AC3FC8">
        <w:rPr>
          <w:rFonts w:ascii="Times New Roman" w:hAnsi="Times New Roman" w:cs="Times New Roman"/>
          <w:lang w:val="uk-UA"/>
        </w:rPr>
        <w:t>Загальних зборів Товариства подається в письмовій формі із зазначенням прізвища (найменування) акціонера, який її</w:t>
      </w:r>
      <w:r>
        <w:rPr>
          <w:rFonts w:ascii="Times New Roman" w:hAnsi="Times New Roman" w:cs="Times New Roman"/>
          <w:lang w:val="uk-UA"/>
        </w:rPr>
        <w:t xml:space="preserve"> </w:t>
      </w:r>
      <w:r w:rsidRPr="00AC3FC8">
        <w:rPr>
          <w:rFonts w:ascii="Times New Roman" w:hAnsi="Times New Roman" w:cs="Times New Roman"/>
          <w:lang w:val="uk-UA"/>
        </w:rPr>
        <w:t>вносить, кількості, типу та/або класу належних йому акцій, змісту пропозиції до питання та/або проекту рішення.</w:t>
      </w:r>
    </w:p>
    <w:p w:rsidR="00AC3FC8" w:rsidRPr="00AC3FC8" w:rsidRDefault="00AC3FC8" w:rsidP="00AC3FC8">
      <w:pPr>
        <w:jc w:val="both"/>
        <w:rPr>
          <w:rFonts w:ascii="Times New Roman" w:hAnsi="Times New Roman" w:cs="Times New Roman"/>
          <w:lang w:val="uk-UA"/>
        </w:rPr>
      </w:pPr>
      <w:r w:rsidRPr="00AC3FC8">
        <w:rPr>
          <w:rFonts w:ascii="Times New Roman" w:hAnsi="Times New Roman" w:cs="Times New Roman"/>
          <w:lang w:val="uk-UA"/>
        </w:rPr>
        <w:t>Пропозиція до порядку денного загальних зборів може бути направлена акціонером у вигляді електронного документу</w:t>
      </w:r>
      <w:r>
        <w:rPr>
          <w:rFonts w:ascii="Times New Roman" w:hAnsi="Times New Roman" w:cs="Times New Roman"/>
          <w:lang w:val="uk-UA"/>
        </w:rPr>
        <w:t xml:space="preserve"> </w:t>
      </w:r>
      <w:r w:rsidRPr="00AC3FC8">
        <w:rPr>
          <w:rFonts w:ascii="Times New Roman" w:hAnsi="Times New Roman" w:cs="Times New Roman"/>
          <w:lang w:val="uk-UA"/>
        </w:rPr>
        <w:t>із засвідченням його кваліфікованим електронним підписом акціонера (іншим засобом, що забезпечує ідентифікацію та</w:t>
      </w:r>
      <w:r>
        <w:rPr>
          <w:rFonts w:ascii="Times New Roman" w:hAnsi="Times New Roman" w:cs="Times New Roman"/>
          <w:lang w:val="uk-UA"/>
        </w:rPr>
        <w:t xml:space="preserve"> </w:t>
      </w:r>
      <w:r w:rsidRPr="00AC3FC8">
        <w:rPr>
          <w:rFonts w:ascii="Times New Roman" w:hAnsi="Times New Roman" w:cs="Times New Roman"/>
          <w:lang w:val="uk-UA"/>
        </w:rPr>
        <w:t xml:space="preserve">підтвердження направлення документу особою) </w:t>
      </w:r>
      <w:r w:rsidRPr="008A63E3">
        <w:rPr>
          <w:rFonts w:ascii="Times New Roman" w:hAnsi="Times New Roman" w:cs="Times New Roman"/>
          <w:lang w:val="uk-UA"/>
        </w:rPr>
        <w:t xml:space="preserve">на електронну адресу: </w:t>
      </w:r>
      <w:hyperlink r:id="rId8" w:history="1">
        <w:r w:rsidR="008A63E3" w:rsidRPr="007035D1">
          <w:rPr>
            <w:rStyle w:val="a5"/>
            <w:rFonts w:ascii="Times New Roman" w:hAnsi="Times New Roman" w:cs="Times New Roman"/>
            <w:lang w:val="uk-UA"/>
          </w:rPr>
          <w:t>netis1962@ukr.net</w:t>
        </w:r>
      </w:hyperlink>
      <w:r w:rsidR="008A63E3">
        <w:rPr>
          <w:rFonts w:ascii="Times New Roman" w:hAnsi="Times New Roman" w:cs="Times New Roman"/>
          <w:color w:val="FF0000"/>
          <w:lang w:val="uk-UA"/>
        </w:rPr>
        <w:t>.</w:t>
      </w:r>
    </w:p>
    <w:p w:rsidR="00AC3FC8" w:rsidRPr="00AC3FC8" w:rsidRDefault="00AC3FC8" w:rsidP="00AC3FC8">
      <w:pPr>
        <w:jc w:val="both"/>
        <w:rPr>
          <w:rFonts w:ascii="Times New Roman" w:hAnsi="Times New Roman" w:cs="Times New Roman"/>
          <w:lang w:val="uk-UA"/>
        </w:rPr>
      </w:pPr>
      <w:r w:rsidRPr="00AC3FC8">
        <w:rPr>
          <w:rFonts w:ascii="Times New Roman" w:hAnsi="Times New Roman" w:cs="Times New Roman"/>
          <w:lang w:val="uk-UA"/>
        </w:rPr>
        <w:t>Від дати надсилання повідомлення про проведення річних Загальних зборів акціонерів до дати проведення річних</w:t>
      </w:r>
      <w:r>
        <w:rPr>
          <w:rFonts w:ascii="Times New Roman" w:hAnsi="Times New Roman" w:cs="Times New Roman"/>
          <w:lang w:val="uk-UA"/>
        </w:rPr>
        <w:t xml:space="preserve"> </w:t>
      </w:r>
      <w:r w:rsidRPr="00AC3FC8">
        <w:rPr>
          <w:rFonts w:ascii="Times New Roman" w:hAnsi="Times New Roman" w:cs="Times New Roman"/>
          <w:lang w:val="uk-UA"/>
        </w:rPr>
        <w:t>Загальних зборів акціонерів Товариство надає акціонерам можливість ознайомитися з документами, необхідними для</w:t>
      </w:r>
      <w:r>
        <w:rPr>
          <w:rFonts w:ascii="Times New Roman" w:hAnsi="Times New Roman" w:cs="Times New Roman"/>
          <w:lang w:val="uk-UA"/>
        </w:rPr>
        <w:t xml:space="preserve"> </w:t>
      </w:r>
      <w:r w:rsidRPr="00AC3FC8">
        <w:rPr>
          <w:rFonts w:ascii="Times New Roman" w:hAnsi="Times New Roman" w:cs="Times New Roman"/>
          <w:lang w:val="uk-UA"/>
        </w:rPr>
        <w:t>прийняття рішень з питань порядку денного шляхом направлення документів акціонеру на його запит засобами</w:t>
      </w:r>
      <w:r>
        <w:rPr>
          <w:rFonts w:ascii="Times New Roman" w:hAnsi="Times New Roman" w:cs="Times New Roman"/>
          <w:lang w:val="uk-UA"/>
        </w:rPr>
        <w:t xml:space="preserve"> </w:t>
      </w:r>
      <w:r w:rsidRPr="00AC3FC8">
        <w:rPr>
          <w:rFonts w:ascii="Times New Roman" w:hAnsi="Times New Roman" w:cs="Times New Roman"/>
          <w:lang w:val="uk-UA"/>
        </w:rPr>
        <w:t>електронної пошти, зазначеної в повідомленні про проведення річних Загальних зборів акціонерів.</w:t>
      </w:r>
    </w:p>
    <w:p w:rsidR="00AC3FC8" w:rsidRPr="00AC3FC8" w:rsidRDefault="00AC3FC8" w:rsidP="00AC3FC8">
      <w:pPr>
        <w:jc w:val="both"/>
        <w:rPr>
          <w:rFonts w:ascii="Times New Roman" w:hAnsi="Times New Roman" w:cs="Times New Roman"/>
          <w:lang w:val="uk-UA"/>
        </w:rPr>
      </w:pPr>
      <w:r w:rsidRPr="00AC3FC8">
        <w:rPr>
          <w:rFonts w:ascii="Times New Roman" w:hAnsi="Times New Roman" w:cs="Times New Roman"/>
          <w:lang w:val="uk-UA"/>
        </w:rPr>
        <w:t>Запит акціонера на ознайомлення з документами, необхідними акціонерам для прийняття рішень з питань порядку</w:t>
      </w:r>
      <w:r>
        <w:rPr>
          <w:rFonts w:ascii="Times New Roman" w:hAnsi="Times New Roman" w:cs="Times New Roman"/>
          <w:lang w:val="uk-UA"/>
        </w:rPr>
        <w:t xml:space="preserve"> </w:t>
      </w:r>
      <w:r w:rsidRPr="00AC3FC8">
        <w:rPr>
          <w:rFonts w:ascii="Times New Roman" w:hAnsi="Times New Roman" w:cs="Times New Roman"/>
          <w:lang w:val="uk-UA"/>
        </w:rPr>
        <w:t xml:space="preserve">денного, має бути підписаний кваліфікованим електронним підписом такого </w:t>
      </w:r>
      <w:r w:rsidRPr="00AC3FC8">
        <w:rPr>
          <w:rFonts w:ascii="Times New Roman" w:hAnsi="Times New Roman" w:cs="Times New Roman"/>
          <w:lang w:val="uk-UA"/>
        </w:rPr>
        <w:lastRenderedPageBreak/>
        <w:t>акціонера (іншим засобом, що забезпечує</w:t>
      </w:r>
      <w:r>
        <w:rPr>
          <w:rFonts w:ascii="Times New Roman" w:hAnsi="Times New Roman" w:cs="Times New Roman"/>
          <w:lang w:val="uk-UA"/>
        </w:rPr>
        <w:t xml:space="preserve"> </w:t>
      </w:r>
      <w:r w:rsidRPr="00AC3FC8">
        <w:rPr>
          <w:rFonts w:ascii="Times New Roman" w:hAnsi="Times New Roman" w:cs="Times New Roman"/>
          <w:lang w:val="uk-UA"/>
        </w:rPr>
        <w:t>ідентифікацію та підтвердження направлення документу особою) та направлений на адресу електронної пошти,</w:t>
      </w:r>
      <w:r>
        <w:rPr>
          <w:rFonts w:ascii="Times New Roman" w:hAnsi="Times New Roman" w:cs="Times New Roman"/>
          <w:lang w:val="uk-UA"/>
        </w:rPr>
        <w:t xml:space="preserve"> </w:t>
      </w:r>
      <w:r w:rsidRPr="00AC3FC8">
        <w:rPr>
          <w:rFonts w:ascii="Times New Roman" w:hAnsi="Times New Roman" w:cs="Times New Roman"/>
          <w:lang w:val="uk-UA"/>
        </w:rPr>
        <w:t>зазначену в повідомленні про проведення Загальних зборів. У разі отримання належним чином</w:t>
      </w:r>
      <w:r>
        <w:rPr>
          <w:rFonts w:ascii="Times New Roman" w:hAnsi="Times New Roman" w:cs="Times New Roman"/>
          <w:lang w:val="uk-UA"/>
        </w:rPr>
        <w:t xml:space="preserve"> </w:t>
      </w:r>
      <w:r w:rsidRPr="00AC3FC8">
        <w:rPr>
          <w:rFonts w:ascii="Times New Roman" w:hAnsi="Times New Roman" w:cs="Times New Roman"/>
          <w:lang w:val="uk-UA"/>
        </w:rPr>
        <w:t>оформленого запиту від акціонера, особа, відповідальна за ознайомлення акціонерів з відповідними документами,</w:t>
      </w:r>
      <w:r>
        <w:rPr>
          <w:rFonts w:ascii="Times New Roman" w:hAnsi="Times New Roman" w:cs="Times New Roman"/>
          <w:lang w:val="uk-UA"/>
        </w:rPr>
        <w:t xml:space="preserve"> </w:t>
      </w:r>
      <w:r w:rsidRPr="00AC3FC8">
        <w:rPr>
          <w:rFonts w:ascii="Times New Roman" w:hAnsi="Times New Roman" w:cs="Times New Roman"/>
          <w:lang w:val="uk-UA"/>
        </w:rPr>
        <w:t>направляє такі документи на адресу електронної пошти акціонера, з якої направлено запит, із засвідченням документів</w:t>
      </w:r>
      <w:r>
        <w:rPr>
          <w:rFonts w:ascii="Times New Roman" w:hAnsi="Times New Roman" w:cs="Times New Roman"/>
          <w:lang w:val="uk-UA"/>
        </w:rPr>
        <w:t xml:space="preserve"> </w:t>
      </w:r>
      <w:r w:rsidRPr="00AC3FC8">
        <w:rPr>
          <w:rFonts w:ascii="Times New Roman" w:hAnsi="Times New Roman" w:cs="Times New Roman"/>
          <w:lang w:val="uk-UA"/>
        </w:rPr>
        <w:t>кваліфікованим електронним підписом.</w:t>
      </w:r>
    </w:p>
    <w:p w:rsidR="00AC3FC8" w:rsidRPr="00AC3FC8" w:rsidRDefault="00AC3FC8" w:rsidP="00AC3FC8">
      <w:pPr>
        <w:jc w:val="both"/>
        <w:rPr>
          <w:rFonts w:ascii="Times New Roman" w:hAnsi="Times New Roman" w:cs="Times New Roman"/>
          <w:lang w:val="uk-UA"/>
        </w:rPr>
      </w:pPr>
      <w:r w:rsidRPr="00AC3FC8">
        <w:rPr>
          <w:rFonts w:ascii="Times New Roman" w:hAnsi="Times New Roman" w:cs="Times New Roman"/>
          <w:lang w:val="uk-UA"/>
        </w:rPr>
        <w:t>Кожен акціонер має право отримати, а Товариство зобов’язане на його запит надати в формі електронних документів</w:t>
      </w:r>
      <w:r>
        <w:rPr>
          <w:rFonts w:ascii="Times New Roman" w:hAnsi="Times New Roman" w:cs="Times New Roman"/>
          <w:lang w:val="uk-UA"/>
        </w:rPr>
        <w:t xml:space="preserve"> </w:t>
      </w:r>
      <w:r w:rsidRPr="00AC3FC8">
        <w:rPr>
          <w:rFonts w:ascii="Times New Roman" w:hAnsi="Times New Roman" w:cs="Times New Roman"/>
          <w:lang w:val="uk-UA"/>
        </w:rPr>
        <w:t>(копій документів), безкоштовно документи, з якими акціонери можуть ознайомитися під час підготовки до річних</w:t>
      </w:r>
      <w:r>
        <w:rPr>
          <w:rFonts w:ascii="Times New Roman" w:hAnsi="Times New Roman" w:cs="Times New Roman"/>
          <w:lang w:val="uk-UA"/>
        </w:rPr>
        <w:t xml:space="preserve"> </w:t>
      </w:r>
      <w:r w:rsidRPr="00AC3FC8">
        <w:rPr>
          <w:rFonts w:ascii="Times New Roman" w:hAnsi="Times New Roman" w:cs="Times New Roman"/>
          <w:lang w:val="uk-UA"/>
        </w:rPr>
        <w:t>Загальних зборів акціонерів. У такому випадку Товариство зберігає зазначені документи в електронній формі</w:t>
      </w:r>
      <w:r>
        <w:rPr>
          <w:rFonts w:ascii="Times New Roman" w:hAnsi="Times New Roman" w:cs="Times New Roman"/>
          <w:lang w:val="uk-UA"/>
        </w:rPr>
        <w:t xml:space="preserve"> </w:t>
      </w:r>
      <w:r w:rsidRPr="00AC3FC8">
        <w:rPr>
          <w:rFonts w:ascii="Times New Roman" w:hAnsi="Times New Roman" w:cs="Times New Roman"/>
          <w:lang w:val="uk-UA"/>
        </w:rPr>
        <w:t>відповідно до вимог, встановлених законодавством про електронний документообіг.</w:t>
      </w:r>
    </w:p>
    <w:p w:rsidR="00AC3FC8" w:rsidRPr="00AC3FC8" w:rsidRDefault="00AC3FC8" w:rsidP="00AC3FC8">
      <w:pPr>
        <w:jc w:val="both"/>
        <w:rPr>
          <w:rFonts w:ascii="Times New Roman" w:hAnsi="Times New Roman" w:cs="Times New Roman"/>
          <w:lang w:val="uk-UA"/>
        </w:rPr>
      </w:pPr>
      <w:r w:rsidRPr="00AC3FC8">
        <w:rPr>
          <w:rFonts w:ascii="Times New Roman" w:hAnsi="Times New Roman" w:cs="Times New Roman"/>
          <w:lang w:val="uk-UA"/>
        </w:rPr>
        <w:t>Товариство до дати проведення річних Загальних зборів акціонерів у встановленому ним порядку зобов'язане</w:t>
      </w:r>
      <w:r>
        <w:rPr>
          <w:rFonts w:ascii="Times New Roman" w:hAnsi="Times New Roman" w:cs="Times New Roman"/>
          <w:lang w:val="uk-UA"/>
        </w:rPr>
        <w:t xml:space="preserve"> </w:t>
      </w:r>
      <w:r w:rsidRPr="00AC3FC8">
        <w:rPr>
          <w:rFonts w:ascii="Times New Roman" w:hAnsi="Times New Roman" w:cs="Times New Roman"/>
          <w:lang w:val="uk-UA"/>
        </w:rPr>
        <w:t>надавати відповіді на запитання акціонерів щодо питань, включених до порядку денного Загальних зборів. Відповідні</w:t>
      </w:r>
      <w:r>
        <w:rPr>
          <w:rFonts w:ascii="Times New Roman" w:hAnsi="Times New Roman" w:cs="Times New Roman"/>
          <w:lang w:val="uk-UA"/>
        </w:rPr>
        <w:t xml:space="preserve"> </w:t>
      </w:r>
      <w:r w:rsidRPr="00AC3FC8">
        <w:rPr>
          <w:rFonts w:ascii="Times New Roman" w:hAnsi="Times New Roman" w:cs="Times New Roman"/>
          <w:lang w:val="uk-UA"/>
        </w:rPr>
        <w:t>запити направляються акціонерами на адресу електронної пошти, зазначену в повідомленні про проведення річних</w:t>
      </w:r>
      <w:r>
        <w:rPr>
          <w:rFonts w:ascii="Times New Roman" w:hAnsi="Times New Roman" w:cs="Times New Roman"/>
          <w:lang w:val="uk-UA"/>
        </w:rPr>
        <w:t xml:space="preserve"> </w:t>
      </w:r>
      <w:r w:rsidRPr="00AC3FC8">
        <w:rPr>
          <w:rFonts w:ascii="Times New Roman" w:hAnsi="Times New Roman" w:cs="Times New Roman"/>
          <w:lang w:val="uk-UA"/>
        </w:rPr>
        <w:t>Загальних зборів акціонерів із засвідченням такого запиту кваліфікованим електронним підписом (іншим засобом, що</w:t>
      </w:r>
      <w:r>
        <w:rPr>
          <w:rFonts w:ascii="Times New Roman" w:hAnsi="Times New Roman" w:cs="Times New Roman"/>
          <w:lang w:val="uk-UA"/>
        </w:rPr>
        <w:t xml:space="preserve"> </w:t>
      </w:r>
      <w:r w:rsidRPr="00AC3FC8">
        <w:rPr>
          <w:rFonts w:ascii="Times New Roman" w:hAnsi="Times New Roman" w:cs="Times New Roman"/>
          <w:lang w:val="uk-UA"/>
        </w:rPr>
        <w:t>забезпечує ідентифікацію та підтвердження направлення документу особою). Товариство може надати одну загальну</w:t>
      </w:r>
      <w:r>
        <w:rPr>
          <w:rFonts w:ascii="Times New Roman" w:hAnsi="Times New Roman" w:cs="Times New Roman"/>
          <w:lang w:val="uk-UA"/>
        </w:rPr>
        <w:t xml:space="preserve"> </w:t>
      </w:r>
      <w:r w:rsidRPr="00AC3FC8">
        <w:rPr>
          <w:rFonts w:ascii="Times New Roman" w:hAnsi="Times New Roman" w:cs="Times New Roman"/>
          <w:lang w:val="uk-UA"/>
        </w:rPr>
        <w:t>відповідь на всі запитання однакового змісту. Відповіді на запити акціонерів направляються на адресу електронної</w:t>
      </w:r>
      <w:r>
        <w:rPr>
          <w:rFonts w:ascii="Times New Roman" w:hAnsi="Times New Roman" w:cs="Times New Roman"/>
          <w:lang w:val="uk-UA"/>
        </w:rPr>
        <w:t xml:space="preserve"> </w:t>
      </w:r>
      <w:r w:rsidRPr="00AC3FC8">
        <w:rPr>
          <w:rFonts w:ascii="Times New Roman" w:hAnsi="Times New Roman" w:cs="Times New Roman"/>
          <w:lang w:val="uk-UA"/>
        </w:rPr>
        <w:t>пошти акціонера, з якої надійшов належним чином оформлений запит, із засвідченням відповіді кваліфікованим</w:t>
      </w:r>
      <w:r>
        <w:rPr>
          <w:rFonts w:ascii="Times New Roman" w:hAnsi="Times New Roman" w:cs="Times New Roman"/>
          <w:lang w:val="uk-UA"/>
        </w:rPr>
        <w:t xml:space="preserve"> </w:t>
      </w:r>
      <w:r w:rsidRPr="00AC3FC8">
        <w:rPr>
          <w:rFonts w:ascii="Times New Roman" w:hAnsi="Times New Roman" w:cs="Times New Roman"/>
          <w:lang w:val="uk-UA"/>
        </w:rPr>
        <w:t>електронним підписом уповноваженої особи.</w:t>
      </w:r>
    </w:p>
    <w:p w:rsidR="008A63E3" w:rsidRDefault="00AC3FC8" w:rsidP="00AC3FC8">
      <w:pPr>
        <w:jc w:val="both"/>
        <w:rPr>
          <w:rFonts w:ascii="Times New Roman" w:hAnsi="Times New Roman" w:cs="Times New Roman"/>
          <w:color w:val="FF0000"/>
          <w:lang w:val="uk-UA"/>
        </w:rPr>
      </w:pPr>
      <w:r w:rsidRPr="008A63E3">
        <w:rPr>
          <w:rFonts w:ascii="Times New Roman" w:hAnsi="Times New Roman" w:cs="Times New Roman"/>
          <w:lang w:val="uk-UA"/>
        </w:rPr>
        <w:t xml:space="preserve">Адреса електронної пошти,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 </w:t>
      </w:r>
      <w:hyperlink r:id="rId9" w:history="1">
        <w:r w:rsidR="008A63E3" w:rsidRPr="007035D1">
          <w:rPr>
            <w:rStyle w:val="a5"/>
            <w:rFonts w:ascii="Times New Roman" w:hAnsi="Times New Roman" w:cs="Times New Roman"/>
            <w:lang w:val="uk-UA"/>
          </w:rPr>
          <w:t>netis1962@ukr.net</w:t>
        </w:r>
      </w:hyperlink>
      <w:r w:rsidR="008A63E3" w:rsidRPr="008A63E3">
        <w:rPr>
          <w:rFonts w:ascii="Times New Roman" w:hAnsi="Times New Roman" w:cs="Times New Roman"/>
          <w:lang w:val="uk-UA"/>
        </w:rPr>
        <w:t xml:space="preserve">. </w:t>
      </w:r>
    </w:p>
    <w:p w:rsidR="00AC3FC8" w:rsidRPr="00AC3FC8" w:rsidRDefault="00AC3FC8" w:rsidP="00AC3FC8">
      <w:pPr>
        <w:jc w:val="both"/>
        <w:rPr>
          <w:rFonts w:ascii="Times New Roman" w:hAnsi="Times New Roman" w:cs="Times New Roman"/>
          <w:b/>
          <w:lang w:val="uk-UA"/>
        </w:rPr>
      </w:pPr>
      <w:r w:rsidRPr="00AC3FC8">
        <w:rPr>
          <w:rFonts w:ascii="Times New Roman" w:hAnsi="Times New Roman" w:cs="Times New Roman"/>
          <w:b/>
          <w:lang w:val="uk-UA"/>
        </w:rPr>
        <w:t>Порядок участі та голосування на річних Загальних зборах акціонерів, що відбуватимуться дистанційно (у тому числі порядок підписання та направлення бюлетеня для голосування), в тому числі порядок участі за довіреністю):</w:t>
      </w:r>
    </w:p>
    <w:p w:rsidR="00AC3FC8" w:rsidRPr="009F72A8" w:rsidRDefault="00AC3FC8" w:rsidP="00AC3FC8">
      <w:pPr>
        <w:jc w:val="both"/>
        <w:rPr>
          <w:rFonts w:ascii="Times New Roman" w:hAnsi="Times New Roman" w:cs="Times New Roman"/>
          <w:lang w:val="uk-UA"/>
        </w:rPr>
      </w:pPr>
      <w:r w:rsidRPr="00AC3FC8">
        <w:rPr>
          <w:rFonts w:ascii="Times New Roman" w:hAnsi="Times New Roman" w:cs="Times New Roman"/>
          <w:lang w:val="uk-UA"/>
        </w:rPr>
        <w:t>Датою початку голосування акціонерів з відповідних питань порядку денного є дата розміщення бюлетенів для</w:t>
      </w:r>
      <w:r>
        <w:rPr>
          <w:rFonts w:ascii="Times New Roman" w:hAnsi="Times New Roman" w:cs="Times New Roman"/>
          <w:lang w:val="uk-UA"/>
        </w:rPr>
        <w:t xml:space="preserve"> </w:t>
      </w:r>
      <w:r w:rsidRPr="00AC3FC8">
        <w:rPr>
          <w:rFonts w:ascii="Times New Roman" w:hAnsi="Times New Roman" w:cs="Times New Roman"/>
          <w:lang w:val="uk-UA"/>
        </w:rPr>
        <w:t>голосування у вільному для акціонерів доступі, зазначених в даному повідомленні (голосування розпочинається з</w:t>
      </w:r>
      <w:r>
        <w:rPr>
          <w:rFonts w:ascii="Times New Roman" w:hAnsi="Times New Roman" w:cs="Times New Roman"/>
          <w:lang w:val="uk-UA"/>
        </w:rPr>
        <w:t xml:space="preserve"> </w:t>
      </w:r>
      <w:r w:rsidRPr="00AC3FC8">
        <w:rPr>
          <w:rFonts w:ascii="Times New Roman" w:hAnsi="Times New Roman" w:cs="Times New Roman"/>
          <w:lang w:val="uk-UA"/>
        </w:rPr>
        <w:t xml:space="preserve">моменту розміщення на власному вебсайті Товариства відповідного бюлетеня для голосування). </w:t>
      </w:r>
      <w:r w:rsidRPr="00B07F5B">
        <w:rPr>
          <w:rFonts w:ascii="Times New Roman" w:hAnsi="Times New Roman" w:cs="Times New Roman"/>
          <w:lang w:val="uk-UA"/>
        </w:rPr>
        <w:t>Голосування на</w:t>
      </w:r>
      <w:r>
        <w:rPr>
          <w:rFonts w:ascii="Times New Roman" w:hAnsi="Times New Roman" w:cs="Times New Roman"/>
          <w:lang w:val="uk-UA"/>
        </w:rPr>
        <w:t xml:space="preserve"> Загальних зборах завершується о 18 </w:t>
      </w:r>
      <w:r w:rsidRPr="009F72A8">
        <w:rPr>
          <w:rFonts w:ascii="Times New Roman" w:hAnsi="Times New Roman" w:cs="Times New Roman"/>
          <w:lang w:val="uk-UA"/>
        </w:rPr>
        <w:t>годині 28 грудня 2022 року.</w:t>
      </w:r>
    </w:p>
    <w:p w:rsidR="00AC3FC8" w:rsidRPr="00471BB7" w:rsidRDefault="00AC3FC8" w:rsidP="00AC3FC8">
      <w:pPr>
        <w:jc w:val="both"/>
        <w:rPr>
          <w:rFonts w:ascii="Times New Roman" w:hAnsi="Times New Roman" w:cs="Times New Roman"/>
          <w:color w:val="000000" w:themeColor="text1"/>
          <w:lang w:val="uk-UA"/>
        </w:rPr>
      </w:pPr>
      <w:r w:rsidRPr="00AC3FC8">
        <w:rPr>
          <w:rFonts w:ascii="Times New Roman" w:hAnsi="Times New Roman" w:cs="Times New Roman"/>
          <w:color w:val="000000" w:themeColor="text1"/>
          <w:lang w:val="uk-UA"/>
        </w:rPr>
        <w:t>Кожен акціонер - власник голосуючих акцій має право реалізувати своє право на управління Товариством шляхом</w:t>
      </w:r>
      <w:r>
        <w:rPr>
          <w:rFonts w:ascii="Times New Roman" w:hAnsi="Times New Roman" w:cs="Times New Roman"/>
          <w:color w:val="000000" w:themeColor="text1"/>
          <w:lang w:val="uk-UA"/>
        </w:rPr>
        <w:t xml:space="preserve"> </w:t>
      </w:r>
      <w:r w:rsidRPr="00AC3FC8">
        <w:rPr>
          <w:rFonts w:ascii="Times New Roman" w:hAnsi="Times New Roman" w:cs="Times New Roman"/>
          <w:color w:val="000000" w:themeColor="text1"/>
          <w:lang w:val="uk-UA"/>
        </w:rPr>
        <w:t>участі у Загальних зборах та голосування шляхом подання бюлетенів депозитарній установі, яка обслуговує рахунок в</w:t>
      </w:r>
      <w:r>
        <w:rPr>
          <w:rFonts w:ascii="Times New Roman" w:hAnsi="Times New Roman" w:cs="Times New Roman"/>
          <w:color w:val="000000" w:themeColor="text1"/>
          <w:lang w:val="uk-UA"/>
        </w:rPr>
        <w:t xml:space="preserve"> </w:t>
      </w:r>
      <w:r w:rsidRPr="00AC3FC8">
        <w:rPr>
          <w:rFonts w:ascii="Times New Roman" w:hAnsi="Times New Roman" w:cs="Times New Roman"/>
          <w:color w:val="000000" w:themeColor="text1"/>
          <w:lang w:val="uk-UA"/>
        </w:rPr>
        <w:t>цінних паперах такого акціонера, на якому обліковуються належні акціонеру акції Товариства на дату складення</w:t>
      </w:r>
      <w:r>
        <w:rPr>
          <w:rFonts w:ascii="Times New Roman" w:hAnsi="Times New Roman" w:cs="Times New Roman"/>
          <w:color w:val="000000" w:themeColor="text1"/>
          <w:lang w:val="uk-UA"/>
        </w:rPr>
        <w:t xml:space="preserve"> </w:t>
      </w:r>
      <w:r w:rsidRPr="00AC3FC8">
        <w:rPr>
          <w:rFonts w:ascii="Times New Roman" w:hAnsi="Times New Roman" w:cs="Times New Roman"/>
          <w:color w:val="000000" w:themeColor="text1"/>
          <w:lang w:val="uk-UA"/>
        </w:rPr>
        <w:t>переліку акціонерів, які мають право на участь у Загальних зборах. Одна акція надає акціонеру один голос для</w:t>
      </w:r>
      <w:r>
        <w:rPr>
          <w:rFonts w:ascii="Times New Roman" w:hAnsi="Times New Roman" w:cs="Times New Roman"/>
          <w:color w:val="000000" w:themeColor="text1"/>
          <w:lang w:val="uk-UA"/>
        </w:rPr>
        <w:t xml:space="preserve"> </w:t>
      </w:r>
      <w:r w:rsidRPr="00AC3FC8">
        <w:rPr>
          <w:rFonts w:ascii="Times New Roman" w:hAnsi="Times New Roman" w:cs="Times New Roman"/>
          <w:color w:val="000000" w:themeColor="text1"/>
          <w:lang w:val="uk-UA"/>
        </w:rPr>
        <w:t>вирішення кожного з питань, винесених на голосування на Загальних зборах, крім проведення кумулятивного</w:t>
      </w:r>
      <w:r w:rsidR="00471BB7">
        <w:rPr>
          <w:rFonts w:ascii="Times New Roman" w:hAnsi="Times New Roman" w:cs="Times New Roman"/>
          <w:color w:val="000000" w:themeColor="text1"/>
          <w:lang w:val="uk-UA"/>
        </w:rPr>
        <w:t xml:space="preserve"> </w:t>
      </w:r>
      <w:r w:rsidRPr="00AC3FC8">
        <w:rPr>
          <w:rFonts w:ascii="Times New Roman" w:hAnsi="Times New Roman" w:cs="Times New Roman"/>
          <w:color w:val="000000" w:themeColor="text1"/>
          <w:lang w:val="uk-UA"/>
        </w:rPr>
        <w:t>голосування. Акціонер не може бути позбавлений права голосу, крім випадків, встановлених чинним законодавством</w:t>
      </w:r>
      <w:r w:rsidR="00471BB7">
        <w:rPr>
          <w:rFonts w:ascii="Times New Roman" w:hAnsi="Times New Roman" w:cs="Times New Roman"/>
          <w:color w:val="000000" w:themeColor="text1"/>
          <w:lang w:val="uk-UA"/>
        </w:rPr>
        <w:t xml:space="preserve"> </w:t>
      </w:r>
      <w:r w:rsidRPr="00AC3FC8">
        <w:rPr>
          <w:rFonts w:ascii="Times New Roman" w:hAnsi="Times New Roman" w:cs="Times New Roman"/>
          <w:color w:val="000000" w:themeColor="text1"/>
          <w:lang w:val="uk-UA"/>
        </w:rPr>
        <w:t>України.</w:t>
      </w:r>
      <w:r w:rsidR="00471BB7">
        <w:rPr>
          <w:rFonts w:ascii="Times New Roman" w:hAnsi="Times New Roman" w:cs="Times New Roman"/>
          <w:color w:val="000000" w:themeColor="text1"/>
          <w:lang w:val="uk-UA"/>
        </w:rPr>
        <w:t xml:space="preserve"> </w:t>
      </w:r>
      <w:r w:rsidRPr="00AC3FC8">
        <w:rPr>
          <w:rFonts w:ascii="Times New Roman" w:hAnsi="Times New Roman" w:cs="Times New Roman"/>
          <w:color w:val="000000" w:themeColor="text1"/>
          <w:lang w:val="uk-UA"/>
        </w:rPr>
        <w:t>Рішення Загальних зборів з питання, винесеного на голосування, приймається простою більшістю голосів</w:t>
      </w:r>
      <w:r w:rsidR="00471BB7">
        <w:rPr>
          <w:rFonts w:ascii="Times New Roman" w:hAnsi="Times New Roman" w:cs="Times New Roman"/>
          <w:color w:val="000000" w:themeColor="text1"/>
          <w:lang w:val="uk-UA"/>
        </w:rPr>
        <w:t xml:space="preserve"> </w:t>
      </w:r>
      <w:r w:rsidRPr="00AC3FC8">
        <w:rPr>
          <w:rFonts w:ascii="Times New Roman" w:hAnsi="Times New Roman" w:cs="Times New Roman"/>
          <w:color w:val="000000" w:themeColor="text1"/>
          <w:lang w:val="uk-UA"/>
        </w:rPr>
        <w:t>акціонерів, які зареєструвалися для участі у Загальних зборах та є власниками голосуючих з цього питання акцій, крім</w:t>
      </w:r>
      <w:r w:rsidR="00471BB7">
        <w:rPr>
          <w:rFonts w:ascii="Times New Roman" w:hAnsi="Times New Roman" w:cs="Times New Roman"/>
          <w:color w:val="000000" w:themeColor="text1"/>
          <w:lang w:val="uk-UA"/>
        </w:rPr>
        <w:t xml:space="preserve"> </w:t>
      </w:r>
      <w:r w:rsidRPr="00AC3FC8">
        <w:rPr>
          <w:rFonts w:ascii="Times New Roman" w:hAnsi="Times New Roman" w:cs="Times New Roman"/>
          <w:color w:val="000000" w:themeColor="text1"/>
          <w:lang w:val="uk-UA"/>
        </w:rPr>
        <w:t>випадків, встановлених чинним законодавством України.</w:t>
      </w:r>
      <w:r w:rsidR="00471BB7">
        <w:rPr>
          <w:rFonts w:ascii="Times New Roman" w:hAnsi="Times New Roman" w:cs="Times New Roman"/>
          <w:color w:val="000000" w:themeColor="text1"/>
          <w:lang w:val="uk-UA"/>
        </w:rPr>
        <w:t xml:space="preserve"> </w:t>
      </w:r>
      <w:r w:rsidRPr="00AC3FC8">
        <w:rPr>
          <w:rFonts w:ascii="Times New Roman" w:hAnsi="Times New Roman" w:cs="Times New Roman"/>
          <w:color w:val="000000" w:themeColor="text1"/>
          <w:lang w:val="uk-UA"/>
        </w:rPr>
        <w:t>Реєстрація акціонерів (їх представників) проводиться на підставі переліку акціонерів, які мають право на участь у</w:t>
      </w:r>
      <w:r w:rsidR="00471BB7">
        <w:rPr>
          <w:rFonts w:ascii="Times New Roman" w:hAnsi="Times New Roman" w:cs="Times New Roman"/>
          <w:color w:val="000000" w:themeColor="text1"/>
          <w:lang w:val="uk-UA"/>
        </w:rPr>
        <w:t xml:space="preserve"> </w:t>
      </w:r>
      <w:r w:rsidRPr="00AC3FC8">
        <w:rPr>
          <w:rFonts w:ascii="Times New Roman" w:hAnsi="Times New Roman" w:cs="Times New Roman"/>
          <w:color w:val="000000" w:themeColor="text1"/>
          <w:lang w:val="uk-UA"/>
        </w:rPr>
        <w:t>Загальних зборах, складеного в порядку, передбаченому законодавством про депозитарну систему України.</w:t>
      </w:r>
      <w:r w:rsidR="00471BB7" w:rsidRPr="00471BB7">
        <w:t xml:space="preserve"> </w:t>
      </w:r>
      <w:r w:rsidR="00471BB7" w:rsidRPr="00471BB7">
        <w:rPr>
          <w:rFonts w:ascii="Times New Roman" w:hAnsi="Times New Roman" w:cs="Times New Roman"/>
          <w:b/>
          <w:color w:val="000000" w:themeColor="text1"/>
        </w:rPr>
        <w:t xml:space="preserve">Для реєстрації акціонерів (їх представників)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w:t>
      </w:r>
      <w:r w:rsidR="00471BB7" w:rsidRPr="00471BB7">
        <w:rPr>
          <w:rFonts w:ascii="Times New Roman" w:hAnsi="Times New Roman" w:cs="Times New Roman"/>
          <w:b/>
          <w:color w:val="000000" w:themeColor="text1"/>
        </w:rPr>
        <w:lastRenderedPageBreak/>
        <w:t>переліку акціонерів, які мають право на участь у Загальних зборах акціонерів</w:t>
      </w:r>
      <w:r w:rsidR="00471BB7">
        <w:rPr>
          <w:rFonts w:ascii="Times New Roman" w:hAnsi="Times New Roman" w:cs="Times New Roman"/>
          <w:b/>
          <w:color w:val="000000" w:themeColor="text1"/>
          <w:lang w:val="uk-UA"/>
        </w:rPr>
        <w:t xml:space="preserve">. </w:t>
      </w:r>
      <w:r w:rsidR="00471BB7" w:rsidRPr="00471BB7">
        <w:rPr>
          <w:rFonts w:ascii="Times New Roman" w:hAnsi="Times New Roman" w:cs="Times New Roman"/>
          <w:color w:val="000000" w:themeColor="text1"/>
        </w:rPr>
        <w:t>Бюлетень для голосування на загальних зборах, засвідчений за допомогою 4 кваліфікованого електронного підпису акціонера (його представника), направляється депозитарній установі на адресу електронної пошти, яка визначена депозитарною установою.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отримання декількох бюлетенів з одних і тих самих питань порядку денного депозитарна установа здійснює заходи передбачені пунктом 73 Тимчасового Порядку щодо того бюлетеня, який було подано останнім, крім випадку, коли акціонером до завершення голосування надано повідомлення депозитарній установі щодо того, який із наданих бюлетенів необхідно вважати дійсним. 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Всі акціонери,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зборах. У разі відсутності інформації про акціонера в переліку акціонерів, які мають право на участь у Загальних зборах, реєстраційна комісія відмовляє в реєстрації такому акціонеру у Загальних зборах. Реєстраційна комісія відмовляє в реєстрації представнику акціонера лише у разі відсутності інформації про акціонера в переліку акціонерів, які мають право на участь у Загальних зборах або у разі відсутності документів, що підтверджують повноваження представника на участь у Загальних зборах. Реєстраційна комісія надає такому акціонеру (його представнику) на його запит документ, що підтверджує відмову у реєстрації для участі у Загальних зборах. Голосування на Загальних зборах з питань порядку денного проводиться виключно з використанням бюлетенів для голосування. 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Датою закінчення голосування акціонерів є дата проведення Загальних зборів. Форма і текст бюлетеня для голосування затверджуються Наглядовою радою Товариства не пізніше ніж за 10 днів до дати проведення Загальних зборів акціонерів. 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r w:rsidR="00471BB7">
        <w:rPr>
          <w:rFonts w:ascii="Times New Roman" w:hAnsi="Times New Roman" w:cs="Times New Roman"/>
          <w:color w:val="000000" w:themeColor="text1"/>
          <w:lang w:val="uk-UA"/>
        </w:rPr>
        <w:t xml:space="preserve">. </w:t>
      </w:r>
    </w:p>
    <w:p w:rsidR="00471BB7" w:rsidRDefault="00471BB7" w:rsidP="00AC3FC8">
      <w:pPr>
        <w:jc w:val="both"/>
        <w:rPr>
          <w:rFonts w:ascii="Times New Roman" w:hAnsi="Times New Roman" w:cs="Times New Roman"/>
          <w:color w:val="000000" w:themeColor="text1"/>
        </w:rPr>
      </w:pPr>
      <w:r w:rsidRPr="00471BB7">
        <w:rPr>
          <w:rFonts w:ascii="Times New Roman" w:hAnsi="Times New Roman" w:cs="Times New Roman"/>
          <w:b/>
          <w:color w:val="000000" w:themeColor="text1"/>
        </w:rPr>
        <w:t>Бюлетень для голосування на загальних зборах засвідчується одним з наступних способів за вибором акціонера:</w:t>
      </w:r>
      <w:r w:rsidRPr="00471BB7">
        <w:rPr>
          <w:rFonts w:ascii="Times New Roman" w:hAnsi="Times New Roman" w:cs="Times New Roman"/>
          <w:color w:val="000000" w:themeColor="text1"/>
        </w:rPr>
        <w:t xml:space="preserve"> </w:t>
      </w:r>
    </w:p>
    <w:p w:rsidR="00AC3FC8" w:rsidRDefault="00471BB7" w:rsidP="00AC3FC8">
      <w:pPr>
        <w:jc w:val="both"/>
        <w:rPr>
          <w:rFonts w:ascii="Times New Roman" w:hAnsi="Times New Roman" w:cs="Times New Roman"/>
          <w:color w:val="000000" w:themeColor="text1"/>
          <w:lang w:val="uk-UA"/>
        </w:rPr>
      </w:pPr>
      <w:r w:rsidRPr="00471BB7">
        <w:rPr>
          <w:rFonts w:ascii="Times New Roman" w:hAnsi="Times New Roman" w:cs="Times New Roman"/>
          <w:color w:val="000000" w:themeColor="text1"/>
        </w:rPr>
        <w:t xml:space="preserve">1) за допомогою кваліфікованого електронного підпису акціонера (його представника); 2) нотаріально, за умови підписання бюлетеня в присутності нотаріуса або посадової особи, яка вчиняє нотаріальні дії; 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Акціонери мають право до проведення Загальних зборів ознайомитися з формою бюлетеня для голосування в порядку, встановленому Розділом XI Тимчасового Порядку. Бюлетень для голосування, визнається недійсним у разі, якщо: 1) форма та/або текст бюлетеня відрізняється від зразка, який розміщеного в порядку, встановленому пунктом 101 Тимчасового Порядку; 2) на ньому відсутній підпис (підписи) акціонера (представника акціонера); 3) не зазначено реквізитів акціонера або </w:t>
      </w:r>
      <w:r w:rsidRPr="00471BB7">
        <w:rPr>
          <w:rFonts w:ascii="Times New Roman" w:hAnsi="Times New Roman" w:cs="Times New Roman"/>
          <w:color w:val="000000" w:themeColor="text1"/>
        </w:rPr>
        <w:lastRenderedPageBreak/>
        <w:t>його представника (за наявності), або іншої інформації, яка є обов'язковою відповідно до Тимчасового Порядку. Бюлетень для голосування визнається недійсним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проекту рішення, або позначив варіант голосування "за" по кожному із проектів рішень одного й того самого питання порядку денного. Бюлетень для кумулятивного голосування по відповідному питанню порядку денного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 Визнання бюлетеня для голосування недійсним по одному питанню порядку денного не має наслідком визнання недійсним всього бюлетеня. 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Посадові особи органів акціонерного Товариства та їх афілійовані особи не можуть бути представниками інших акціонерів Товариства на Загальних зборах. 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5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Повідомлення акціонером про заміну або відкликання свого представника може здійснюватися за допомогою засобів електронного зв'язку відповідно до вимог чинного законодавства України про електронний документообіг</w:t>
      </w:r>
      <w:r>
        <w:rPr>
          <w:rFonts w:ascii="Times New Roman" w:hAnsi="Times New Roman" w:cs="Times New Roman"/>
          <w:color w:val="000000" w:themeColor="text1"/>
          <w:lang w:val="uk-UA"/>
        </w:rPr>
        <w:t>.</w:t>
      </w:r>
    </w:p>
    <w:p w:rsidR="00471BB7" w:rsidRDefault="00471BB7" w:rsidP="00471BB7">
      <w:pPr>
        <w:jc w:val="both"/>
        <w:rPr>
          <w:rFonts w:ascii="Times New Roman" w:hAnsi="Times New Roman" w:cs="Times New Roman"/>
          <w:color w:val="000000" w:themeColor="text1"/>
        </w:rPr>
      </w:pPr>
      <w:r w:rsidRPr="00471BB7">
        <w:rPr>
          <w:rFonts w:ascii="Times New Roman" w:hAnsi="Times New Roman" w:cs="Times New Roman"/>
          <w:b/>
          <w:color w:val="000000" w:themeColor="text1"/>
        </w:rPr>
        <w:t>Інформація щодо необхідності укладення договорів з депозитарними установами особами, яким рахунок в цінних паперах депозитарною установою відкрито на підставі договору з емітентом для забезпечення реалізації права на участь у дистанційних Загальних зборах</w:t>
      </w:r>
      <w:r w:rsidRPr="00471BB7">
        <w:rPr>
          <w:rFonts w:ascii="Times New Roman" w:hAnsi="Times New Roman" w:cs="Times New Roman"/>
          <w:color w:val="000000" w:themeColor="text1"/>
        </w:rPr>
        <w:t>: 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rsidR="00471BB7" w:rsidRPr="00471BB7" w:rsidRDefault="00471BB7" w:rsidP="00471BB7">
      <w:pPr>
        <w:jc w:val="both"/>
        <w:rPr>
          <w:rFonts w:ascii="Times New Roman" w:hAnsi="Times New Roman" w:cs="Times New Roman"/>
          <w:color w:val="000000" w:themeColor="text1"/>
          <w:lang w:val="uk-UA"/>
        </w:rPr>
      </w:pPr>
      <w:r w:rsidRPr="00471BB7">
        <w:rPr>
          <w:rFonts w:ascii="Times New Roman" w:hAnsi="Times New Roman" w:cs="Times New Roman"/>
          <w:b/>
          <w:color w:val="000000" w:themeColor="text1"/>
        </w:rPr>
        <w:t>Перелік документів, що має надати акціонер (представник акціонера) для участі у Загальних зборах акціонерів:</w:t>
      </w:r>
      <w:r w:rsidRPr="00471BB7">
        <w:rPr>
          <w:rFonts w:ascii="Times New Roman" w:hAnsi="Times New Roman" w:cs="Times New Roman"/>
          <w:color w:val="000000" w:themeColor="text1"/>
        </w:rPr>
        <w:t xml:space="preserve"> - бюлетень для голосування на річних Загальних зборах акціонерів; - документ, що посвідчує особу (паспорт); - довіреність на право участі та голосуванні на річних Загальних зборах акціонерів (для представника акціонера). Порядок оформлення, підписання та надання цих документів наведений вище у цьому повідомленні та відповідає вимогам чинного </w:t>
      </w:r>
      <w:r w:rsidRPr="00471BB7">
        <w:rPr>
          <w:rFonts w:ascii="Times New Roman" w:hAnsi="Times New Roman" w:cs="Times New Roman"/>
          <w:color w:val="000000" w:themeColor="text1"/>
        </w:rPr>
        <w:lastRenderedPageBreak/>
        <w:t>законодавства України, зокрема Закону України «Про акціонерні товариства» та Тимчасового Порядку</w:t>
      </w:r>
      <w:r>
        <w:rPr>
          <w:rFonts w:ascii="Times New Roman" w:hAnsi="Times New Roman" w:cs="Times New Roman"/>
          <w:color w:val="000000" w:themeColor="text1"/>
          <w:lang w:val="uk-UA"/>
        </w:rPr>
        <w:t>.</w:t>
      </w:r>
    </w:p>
    <w:p w:rsidR="00B07F5B" w:rsidRPr="00B07F5B" w:rsidRDefault="00B07F5B" w:rsidP="00B07F5B">
      <w:pPr>
        <w:jc w:val="both"/>
        <w:rPr>
          <w:rFonts w:ascii="Times New Roman" w:hAnsi="Times New Roman" w:cs="Times New Roman"/>
          <w:lang w:val="uk-UA"/>
        </w:rPr>
      </w:pPr>
      <w:r w:rsidRPr="00B07F5B">
        <w:rPr>
          <w:rFonts w:ascii="Times New Roman" w:hAnsi="Times New Roman" w:cs="Times New Roman"/>
          <w:lang w:val="uk-UA"/>
        </w:rPr>
        <w:t>.</w:t>
      </w:r>
    </w:p>
    <w:p w:rsidR="0093438C" w:rsidRPr="0080752D" w:rsidRDefault="0093438C" w:rsidP="0093438C">
      <w:pPr>
        <w:pStyle w:val="a4"/>
        <w:jc w:val="center"/>
        <w:rPr>
          <w:sz w:val="20"/>
          <w:szCs w:val="20"/>
        </w:rPr>
      </w:pPr>
      <w:r w:rsidRPr="0080752D">
        <w:rPr>
          <w:sz w:val="20"/>
          <w:szCs w:val="20"/>
        </w:rPr>
        <w:t>ОСНОВНІ ПОКАЗНИКИ</w:t>
      </w:r>
      <w:r w:rsidRPr="0080752D">
        <w:rPr>
          <w:sz w:val="20"/>
          <w:szCs w:val="20"/>
        </w:rPr>
        <w:br/>
        <w:t>фінансово-господарської діяльності підприємства (тис. грн)</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759"/>
        <w:gridCol w:w="1888"/>
        <w:gridCol w:w="1692"/>
      </w:tblGrid>
      <w:tr w:rsidR="0093438C" w:rsidRPr="0080752D" w:rsidTr="009F449D">
        <w:trPr>
          <w:tblCellSpacing w:w="0" w:type="dxa"/>
        </w:trPr>
        <w:tc>
          <w:tcPr>
            <w:tcW w:w="5759" w:type="dxa"/>
            <w:vMerge w:val="restart"/>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Найменування показника</w:t>
            </w:r>
          </w:p>
        </w:tc>
        <w:tc>
          <w:tcPr>
            <w:tcW w:w="3580" w:type="dxa"/>
            <w:gridSpan w:val="2"/>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Період</w:t>
            </w:r>
          </w:p>
        </w:tc>
      </w:tr>
      <w:tr w:rsidR="0093438C" w:rsidRPr="0080752D" w:rsidTr="009F449D">
        <w:trPr>
          <w:tblCellSpacing w:w="0" w:type="dxa"/>
        </w:trPr>
        <w:tc>
          <w:tcPr>
            <w:tcW w:w="5759" w:type="dxa"/>
            <w:vMerge/>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tc>
        <w:tc>
          <w:tcPr>
            <w:tcW w:w="1888" w:type="dxa"/>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Звітний</w:t>
            </w:r>
            <w:r>
              <w:rPr>
                <w:sz w:val="20"/>
                <w:szCs w:val="20"/>
              </w:rPr>
              <w:t xml:space="preserve"> </w:t>
            </w:r>
            <w:r>
              <w:rPr>
                <w:sz w:val="20"/>
                <w:szCs w:val="20"/>
                <w:lang w:val="en-US"/>
              </w:rPr>
              <w:t>2021</w:t>
            </w:r>
            <w:r>
              <w:rPr>
                <w:sz w:val="20"/>
                <w:szCs w:val="20"/>
              </w:rPr>
              <w:t xml:space="preserve">рік         </w:t>
            </w:r>
          </w:p>
        </w:tc>
        <w:tc>
          <w:tcPr>
            <w:tcW w:w="1692" w:type="dxa"/>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Попередній</w:t>
            </w:r>
            <w:r>
              <w:rPr>
                <w:sz w:val="20"/>
                <w:szCs w:val="20"/>
                <w:lang w:val="en-US"/>
              </w:rPr>
              <w:t>2020</w:t>
            </w:r>
            <w:r>
              <w:rPr>
                <w:sz w:val="20"/>
                <w:szCs w:val="20"/>
              </w:rPr>
              <w:t xml:space="preserve"> рік</w:t>
            </w:r>
          </w:p>
        </w:tc>
      </w:tr>
      <w:tr w:rsidR="0093438C" w:rsidRPr="0080752D" w:rsidTr="009F449D">
        <w:trPr>
          <w:tblCellSpacing w:w="0" w:type="dxa"/>
        </w:trPr>
        <w:tc>
          <w:tcPr>
            <w:tcW w:w="5759" w:type="dxa"/>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Усього активів</w:t>
            </w:r>
          </w:p>
        </w:tc>
        <w:tc>
          <w:tcPr>
            <w:tcW w:w="1888" w:type="dxa"/>
            <w:tcBorders>
              <w:top w:val="outset" w:sz="6" w:space="0" w:color="auto"/>
              <w:left w:val="outset" w:sz="6" w:space="0" w:color="auto"/>
              <w:bottom w:val="outset" w:sz="6" w:space="0" w:color="auto"/>
              <w:right w:val="outset" w:sz="6" w:space="0" w:color="auto"/>
            </w:tcBorders>
            <w:vAlign w:val="center"/>
          </w:tcPr>
          <w:p w:rsidR="0093438C" w:rsidRPr="00DB7E08" w:rsidRDefault="0093438C" w:rsidP="009F449D">
            <w:pPr>
              <w:pStyle w:val="a4"/>
              <w:rPr>
                <w:sz w:val="20"/>
                <w:szCs w:val="20"/>
                <w:lang w:val="en-US"/>
              </w:rPr>
            </w:pPr>
            <w:r>
              <w:rPr>
                <w:sz w:val="20"/>
                <w:szCs w:val="20"/>
                <w:lang w:val="en-US"/>
              </w:rPr>
              <w:t xml:space="preserve">     26260.6</w:t>
            </w:r>
          </w:p>
        </w:tc>
        <w:tc>
          <w:tcPr>
            <w:tcW w:w="1692" w:type="dxa"/>
            <w:tcBorders>
              <w:top w:val="outset" w:sz="6" w:space="0" w:color="auto"/>
              <w:left w:val="outset" w:sz="6" w:space="0" w:color="auto"/>
              <w:bottom w:val="outset" w:sz="6" w:space="0" w:color="auto"/>
              <w:right w:val="outset" w:sz="6" w:space="0" w:color="auto"/>
            </w:tcBorders>
            <w:vAlign w:val="center"/>
          </w:tcPr>
          <w:p w:rsidR="0093438C" w:rsidRPr="00581683" w:rsidRDefault="0093438C" w:rsidP="009F449D">
            <w:pPr>
              <w:pStyle w:val="a4"/>
              <w:rPr>
                <w:sz w:val="20"/>
                <w:szCs w:val="20"/>
                <w:lang w:val="ru-RU"/>
              </w:rPr>
            </w:pPr>
            <w:r>
              <w:rPr>
                <w:sz w:val="20"/>
                <w:szCs w:val="20"/>
                <w:lang w:val="ru-RU"/>
              </w:rPr>
              <w:t xml:space="preserve">    25451</w:t>
            </w:r>
          </w:p>
        </w:tc>
      </w:tr>
      <w:tr w:rsidR="0093438C" w:rsidRPr="0080752D" w:rsidTr="009F449D">
        <w:trPr>
          <w:tblCellSpacing w:w="0" w:type="dxa"/>
        </w:trPr>
        <w:tc>
          <w:tcPr>
            <w:tcW w:w="5759" w:type="dxa"/>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Основні засоби (за залишковою вартістю)</w:t>
            </w:r>
          </w:p>
        </w:tc>
        <w:tc>
          <w:tcPr>
            <w:tcW w:w="1888" w:type="dxa"/>
            <w:tcBorders>
              <w:top w:val="outset" w:sz="6" w:space="0" w:color="auto"/>
              <w:left w:val="outset" w:sz="6" w:space="0" w:color="auto"/>
              <w:bottom w:val="outset" w:sz="6" w:space="0" w:color="auto"/>
              <w:right w:val="outset" w:sz="6" w:space="0" w:color="auto"/>
            </w:tcBorders>
            <w:vAlign w:val="center"/>
          </w:tcPr>
          <w:p w:rsidR="0093438C" w:rsidRPr="00DB7E08" w:rsidRDefault="0093438C" w:rsidP="009F449D">
            <w:pPr>
              <w:pStyle w:val="a4"/>
              <w:rPr>
                <w:sz w:val="20"/>
                <w:szCs w:val="20"/>
                <w:lang w:val="en-US"/>
              </w:rPr>
            </w:pPr>
            <w:r w:rsidRPr="0066356E">
              <w:rPr>
                <w:sz w:val="20"/>
                <w:szCs w:val="20"/>
                <w:lang w:val="ru-RU"/>
              </w:rPr>
              <w:t xml:space="preserve">     </w:t>
            </w:r>
            <w:r>
              <w:rPr>
                <w:sz w:val="20"/>
                <w:szCs w:val="20"/>
                <w:lang w:val="en-US"/>
              </w:rPr>
              <w:t>6718.6</w:t>
            </w:r>
          </w:p>
        </w:tc>
        <w:tc>
          <w:tcPr>
            <w:tcW w:w="1692" w:type="dxa"/>
            <w:tcBorders>
              <w:top w:val="outset" w:sz="6" w:space="0" w:color="auto"/>
              <w:left w:val="outset" w:sz="6" w:space="0" w:color="auto"/>
              <w:bottom w:val="outset" w:sz="6" w:space="0" w:color="auto"/>
              <w:right w:val="outset" w:sz="6" w:space="0" w:color="auto"/>
            </w:tcBorders>
            <w:vAlign w:val="center"/>
          </w:tcPr>
          <w:p w:rsidR="0093438C" w:rsidRPr="00581683" w:rsidRDefault="0093438C" w:rsidP="009F449D">
            <w:pPr>
              <w:pStyle w:val="a4"/>
              <w:rPr>
                <w:sz w:val="20"/>
                <w:szCs w:val="20"/>
                <w:lang w:val="ru-RU"/>
              </w:rPr>
            </w:pPr>
            <w:r>
              <w:rPr>
                <w:sz w:val="20"/>
                <w:szCs w:val="20"/>
                <w:lang w:val="ru-RU"/>
              </w:rPr>
              <w:t xml:space="preserve">    6241,9</w:t>
            </w:r>
          </w:p>
        </w:tc>
      </w:tr>
      <w:tr w:rsidR="0093438C" w:rsidRPr="0080752D" w:rsidTr="009F449D">
        <w:trPr>
          <w:tblCellSpacing w:w="0" w:type="dxa"/>
        </w:trPr>
        <w:tc>
          <w:tcPr>
            <w:tcW w:w="5759" w:type="dxa"/>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Запаси</w:t>
            </w:r>
          </w:p>
        </w:tc>
        <w:tc>
          <w:tcPr>
            <w:tcW w:w="1888" w:type="dxa"/>
            <w:tcBorders>
              <w:top w:val="outset" w:sz="6" w:space="0" w:color="auto"/>
              <w:left w:val="outset" w:sz="6" w:space="0" w:color="auto"/>
              <w:bottom w:val="outset" w:sz="6" w:space="0" w:color="auto"/>
              <w:right w:val="outset" w:sz="6" w:space="0" w:color="auto"/>
            </w:tcBorders>
            <w:vAlign w:val="center"/>
          </w:tcPr>
          <w:p w:rsidR="0093438C" w:rsidRPr="00DB7E08" w:rsidRDefault="0093438C" w:rsidP="009F449D">
            <w:pPr>
              <w:pStyle w:val="a4"/>
              <w:rPr>
                <w:sz w:val="20"/>
                <w:szCs w:val="20"/>
                <w:lang w:val="en-US"/>
              </w:rPr>
            </w:pPr>
            <w:r>
              <w:rPr>
                <w:sz w:val="20"/>
                <w:szCs w:val="20"/>
                <w:lang w:val="en-US"/>
              </w:rPr>
              <w:t xml:space="preserve">     10420.7</w:t>
            </w:r>
          </w:p>
        </w:tc>
        <w:tc>
          <w:tcPr>
            <w:tcW w:w="1692" w:type="dxa"/>
            <w:tcBorders>
              <w:top w:val="outset" w:sz="6" w:space="0" w:color="auto"/>
              <w:left w:val="outset" w:sz="6" w:space="0" w:color="auto"/>
              <w:bottom w:val="outset" w:sz="6" w:space="0" w:color="auto"/>
              <w:right w:val="outset" w:sz="6" w:space="0" w:color="auto"/>
            </w:tcBorders>
            <w:vAlign w:val="center"/>
          </w:tcPr>
          <w:p w:rsidR="0093438C" w:rsidRPr="00581683" w:rsidRDefault="0093438C" w:rsidP="009F449D">
            <w:pPr>
              <w:pStyle w:val="a4"/>
              <w:rPr>
                <w:sz w:val="20"/>
                <w:szCs w:val="20"/>
                <w:lang w:val="ru-RU"/>
              </w:rPr>
            </w:pPr>
            <w:r>
              <w:rPr>
                <w:sz w:val="20"/>
                <w:szCs w:val="20"/>
                <w:lang w:val="ru-RU"/>
              </w:rPr>
              <w:t xml:space="preserve">    6189,8</w:t>
            </w:r>
          </w:p>
        </w:tc>
      </w:tr>
      <w:tr w:rsidR="0093438C" w:rsidRPr="0080752D" w:rsidTr="009F449D">
        <w:trPr>
          <w:tblCellSpacing w:w="0" w:type="dxa"/>
        </w:trPr>
        <w:tc>
          <w:tcPr>
            <w:tcW w:w="5759" w:type="dxa"/>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Сумарна дебіторська заборгованість</w:t>
            </w:r>
          </w:p>
        </w:tc>
        <w:tc>
          <w:tcPr>
            <w:tcW w:w="1888" w:type="dxa"/>
            <w:tcBorders>
              <w:top w:val="outset" w:sz="6" w:space="0" w:color="auto"/>
              <w:left w:val="outset" w:sz="6" w:space="0" w:color="auto"/>
              <w:bottom w:val="outset" w:sz="6" w:space="0" w:color="auto"/>
              <w:right w:val="outset" w:sz="6" w:space="0" w:color="auto"/>
            </w:tcBorders>
            <w:vAlign w:val="center"/>
          </w:tcPr>
          <w:p w:rsidR="0093438C" w:rsidRPr="00DB7E08" w:rsidRDefault="0093438C" w:rsidP="009F449D">
            <w:pPr>
              <w:pStyle w:val="a4"/>
              <w:rPr>
                <w:sz w:val="20"/>
                <w:szCs w:val="20"/>
                <w:lang w:val="en-US"/>
              </w:rPr>
            </w:pPr>
            <w:r>
              <w:rPr>
                <w:sz w:val="20"/>
                <w:szCs w:val="20"/>
                <w:lang w:val="en-US"/>
              </w:rPr>
              <w:t xml:space="preserve">     6511.8</w:t>
            </w:r>
          </w:p>
        </w:tc>
        <w:tc>
          <w:tcPr>
            <w:tcW w:w="1692" w:type="dxa"/>
            <w:tcBorders>
              <w:top w:val="outset" w:sz="6" w:space="0" w:color="auto"/>
              <w:left w:val="outset" w:sz="6" w:space="0" w:color="auto"/>
              <w:bottom w:val="outset" w:sz="6" w:space="0" w:color="auto"/>
              <w:right w:val="outset" w:sz="6" w:space="0" w:color="auto"/>
            </w:tcBorders>
            <w:vAlign w:val="center"/>
          </w:tcPr>
          <w:p w:rsidR="0093438C" w:rsidRPr="00581683" w:rsidRDefault="0093438C" w:rsidP="009F449D">
            <w:pPr>
              <w:pStyle w:val="a4"/>
              <w:rPr>
                <w:sz w:val="20"/>
                <w:szCs w:val="20"/>
                <w:lang w:val="ru-RU"/>
              </w:rPr>
            </w:pPr>
            <w:r>
              <w:rPr>
                <w:sz w:val="20"/>
                <w:szCs w:val="20"/>
                <w:lang w:val="ru-RU"/>
              </w:rPr>
              <w:t xml:space="preserve">   10030,3</w:t>
            </w:r>
          </w:p>
        </w:tc>
      </w:tr>
      <w:tr w:rsidR="0093438C" w:rsidRPr="0080752D" w:rsidTr="009F449D">
        <w:trPr>
          <w:tblCellSpacing w:w="0" w:type="dxa"/>
        </w:trPr>
        <w:tc>
          <w:tcPr>
            <w:tcW w:w="5759" w:type="dxa"/>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Гроші та їх еквіваленти</w:t>
            </w:r>
          </w:p>
        </w:tc>
        <w:tc>
          <w:tcPr>
            <w:tcW w:w="1888" w:type="dxa"/>
            <w:tcBorders>
              <w:top w:val="outset" w:sz="6" w:space="0" w:color="auto"/>
              <w:left w:val="outset" w:sz="6" w:space="0" w:color="auto"/>
              <w:bottom w:val="outset" w:sz="6" w:space="0" w:color="auto"/>
              <w:right w:val="outset" w:sz="6" w:space="0" w:color="auto"/>
            </w:tcBorders>
            <w:vAlign w:val="center"/>
          </w:tcPr>
          <w:p w:rsidR="0093438C" w:rsidRPr="00DB7E08" w:rsidRDefault="0093438C" w:rsidP="009F449D">
            <w:pPr>
              <w:pStyle w:val="a4"/>
              <w:rPr>
                <w:sz w:val="20"/>
                <w:szCs w:val="20"/>
                <w:lang w:val="en-US"/>
              </w:rPr>
            </w:pPr>
            <w:r>
              <w:rPr>
                <w:sz w:val="20"/>
                <w:szCs w:val="20"/>
                <w:lang w:val="en-US"/>
              </w:rPr>
              <w:t xml:space="preserve">     1720.7</w:t>
            </w:r>
          </w:p>
        </w:tc>
        <w:tc>
          <w:tcPr>
            <w:tcW w:w="1692" w:type="dxa"/>
            <w:tcBorders>
              <w:top w:val="outset" w:sz="6" w:space="0" w:color="auto"/>
              <w:left w:val="outset" w:sz="6" w:space="0" w:color="auto"/>
              <w:bottom w:val="outset" w:sz="6" w:space="0" w:color="auto"/>
              <w:right w:val="outset" w:sz="6" w:space="0" w:color="auto"/>
            </w:tcBorders>
            <w:vAlign w:val="center"/>
          </w:tcPr>
          <w:p w:rsidR="0093438C" w:rsidRPr="00581683" w:rsidRDefault="0093438C" w:rsidP="009F449D">
            <w:pPr>
              <w:pStyle w:val="a4"/>
              <w:rPr>
                <w:sz w:val="20"/>
                <w:szCs w:val="20"/>
                <w:lang w:val="ru-RU"/>
              </w:rPr>
            </w:pPr>
            <w:r>
              <w:rPr>
                <w:sz w:val="20"/>
                <w:szCs w:val="20"/>
                <w:lang w:val="ru-RU"/>
              </w:rPr>
              <w:t xml:space="preserve">    2782,4</w:t>
            </w:r>
          </w:p>
        </w:tc>
      </w:tr>
      <w:tr w:rsidR="0093438C" w:rsidRPr="0080752D" w:rsidTr="009F449D">
        <w:trPr>
          <w:tblCellSpacing w:w="0" w:type="dxa"/>
        </w:trPr>
        <w:tc>
          <w:tcPr>
            <w:tcW w:w="5759" w:type="dxa"/>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Нерозподілений прибуток (непокритий збиток)</w:t>
            </w:r>
          </w:p>
        </w:tc>
        <w:tc>
          <w:tcPr>
            <w:tcW w:w="1888" w:type="dxa"/>
            <w:tcBorders>
              <w:top w:val="outset" w:sz="6" w:space="0" w:color="auto"/>
              <w:left w:val="outset" w:sz="6" w:space="0" w:color="auto"/>
              <w:bottom w:val="outset" w:sz="6" w:space="0" w:color="auto"/>
              <w:right w:val="outset" w:sz="6" w:space="0" w:color="auto"/>
            </w:tcBorders>
            <w:vAlign w:val="center"/>
          </w:tcPr>
          <w:p w:rsidR="0093438C" w:rsidRPr="00DB7E08" w:rsidRDefault="0093438C" w:rsidP="009F449D">
            <w:pPr>
              <w:pStyle w:val="a4"/>
              <w:rPr>
                <w:sz w:val="20"/>
                <w:szCs w:val="20"/>
                <w:lang w:val="en-US"/>
              </w:rPr>
            </w:pPr>
            <w:r>
              <w:rPr>
                <w:sz w:val="20"/>
                <w:szCs w:val="20"/>
                <w:lang w:val="en-US"/>
              </w:rPr>
              <w:t xml:space="preserve">     (2572.7)</w:t>
            </w:r>
          </w:p>
        </w:tc>
        <w:tc>
          <w:tcPr>
            <w:tcW w:w="1692" w:type="dxa"/>
            <w:tcBorders>
              <w:top w:val="outset" w:sz="6" w:space="0" w:color="auto"/>
              <w:left w:val="outset" w:sz="6" w:space="0" w:color="auto"/>
              <w:bottom w:val="outset" w:sz="6" w:space="0" w:color="auto"/>
              <w:right w:val="outset" w:sz="6" w:space="0" w:color="auto"/>
            </w:tcBorders>
            <w:vAlign w:val="center"/>
          </w:tcPr>
          <w:p w:rsidR="0093438C" w:rsidRPr="00581683" w:rsidRDefault="0093438C" w:rsidP="009F449D">
            <w:pPr>
              <w:pStyle w:val="a4"/>
              <w:rPr>
                <w:sz w:val="20"/>
                <w:szCs w:val="20"/>
                <w:lang w:val="ru-RU"/>
              </w:rPr>
            </w:pPr>
            <w:r>
              <w:rPr>
                <w:sz w:val="20"/>
                <w:szCs w:val="20"/>
                <w:lang w:val="ru-RU"/>
              </w:rPr>
              <w:t xml:space="preserve">   (2434,2)</w:t>
            </w:r>
          </w:p>
        </w:tc>
      </w:tr>
      <w:tr w:rsidR="0093438C" w:rsidRPr="0080752D" w:rsidTr="009F449D">
        <w:trPr>
          <w:tblCellSpacing w:w="0" w:type="dxa"/>
        </w:trPr>
        <w:tc>
          <w:tcPr>
            <w:tcW w:w="5759" w:type="dxa"/>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Власний капітал</w:t>
            </w:r>
          </w:p>
        </w:tc>
        <w:tc>
          <w:tcPr>
            <w:tcW w:w="1888" w:type="dxa"/>
            <w:tcBorders>
              <w:top w:val="outset" w:sz="6" w:space="0" w:color="auto"/>
              <w:left w:val="outset" w:sz="6" w:space="0" w:color="auto"/>
              <w:bottom w:val="outset" w:sz="6" w:space="0" w:color="auto"/>
              <w:right w:val="outset" w:sz="6" w:space="0" w:color="auto"/>
            </w:tcBorders>
            <w:vAlign w:val="center"/>
          </w:tcPr>
          <w:p w:rsidR="0093438C" w:rsidRPr="00DB7E08" w:rsidRDefault="0093438C" w:rsidP="009F449D">
            <w:pPr>
              <w:pStyle w:val="a4"/>
              <w:rPr>
                <w:sz w:val="20"/>
                <w:szCs w:val="20"/>
                <w:lang w:val="en-US"/>
              </w:rPr>
            </w:pPr>
            <w:r>
              <w:rPr>
                <w:sz w:val="20"/>
                <w:szCs w:val="20"/>
                <w:lang w:val="en-US"/>
              </w:rPr>
              <w:t xml:space="preserve">      8661.3</w:t>
            </w:r>
          </w:p>
        </w:tc>
        <w:tc>
          <w:tcPr>
            <w:tcW w:w="1692" w:type="dxa"/>
            <w:tcBorders>
              <w:top w:val="outset" w:sz="6" w:space="0" w:color="auto"/>
              <w:left w:val="outset" w:sz="6" w:space="0" w:color="auto"/>
              <w:bottom w:val="outset" w:sz="6" w:space="0" w:color="auto"/>
              <w:right w:val="outset" w:sz="6" w:space="0" w:color="auto"/>
            </w:tcBorders>
            <w:vAlign w:val="center"/>
          </w:tcPr>
          <w:p w:rsidR="0093438C" w:rsidRPr="00581683" w:rsidRDefault="0093438C" w:rsidP="009F449D">
            <w:pPr>
              <w:pStyle w:val="a4"/>
              <w:rPr>
                <w:sz w:val="20"/>
                <w:szCs w:val="20"/>
                <w:lang w:val="ru-RU"/>
              </w:rPr>
            </w:pPr>
            <w:r>
              <w:rPr>
                <w:sz w:val="20"/>
                <w:szCs w:val="20"/>
                <w:lang w:val="ru-RU"/>
              </w:rPr>
              <w:t xml:space="preserve">    8802,8</w:t>
            </w:r>
          </w:p>
        </w:tc>
      </w:tr>
      <w:tr w:rsidR="0093438C" w:rsidRPr="0080752D" w:rsidTr="009F449D">
        <w:trPr>
          <w:tblCellSpacing w:w="0" w:type="dxa"/>
        </w:trPr>
        <w:tc>
          <w:tcPr>
            <w:tcW w:w="5759" w:type="dxa"/>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Зареєстрований (пайовий/статутний) капітал</w:t>
            </w:r>
          </w:p>
        </w:tc>
        <w:tc>
          <w:tcPr>
            <w:tcW w:w="1888" w:type="dxa"/>
            <w:tcBorders>
              <w:top w:val="outset" w:sz="6" w:space="0" w:color="auto"/>
              <w:left w:val="outset" w:sz="6" w:space="0" w:color="auto"/>
              <w:bottom w:val="outset" w:sz="6" w:space="0" w:color="auto"/>
              <w:right w:val="outset" w:sz="6" w:space="0" w:color="auto"/>
            </w:tcBorders>
            <w:vAlign w:val="center"/>
          </w:tcPr>
          <w:p w:rsidR="0093438C" w:rsidRPr="00DB7E08" w:rsidRDefault="0093438C" w:rsidP="009F449D">
            <w:pPr>
              <w:pStyle w:val="a4"/>
              <w:rPr>
                <w:sz w:val="20"/>
                <w:szCs w:val="20"/>
                <w:lang w:val="en-US"/>
              </w:rPr>
            </w:pPr>
            <w:r>
              <w:rPr>
                <w:sz w:val="20"/>
                <w:szCs w:val="20"/>
                <w:lang w:val="en-US"/>
              </w:rPr>
              <w:t xml:space="preserve">      11237</w:t>
            </w:r>
          </w:p>
        </w:tc>
        <w:tc>
          <w:tcPr>
            <w:tcW w:w="1692" w:type="dxa"/>
            <w:tcBorders>
              <w:top w:val="outset" w:sz="6" w:space="0" w:color="auto"/>
              <w:left w:val="outset" w:sz="6" w:space="0" w:color="auto"/>
              <w:bottom w:val="outset" w:sz="6" w:space="0" w:color="auto"/>
              <w:right w:val="outset" w:sz="6" w:space="0" w:color="auto"/>
            </w:tcBorders>
            <w:vAlign w:val="center"/>
          </w:tcPr>
          <w:p w:rsidR="0093438C" w:rsidRPr="00581683" w:rsidRDefault="0093438C" w:rsidP="009F449D">
            <w:pPr>
              <w:pStyle w:val="a4"/>
              <w:rPr>
                <w:sz w:val="20"/>
                <w:szCs w:val="20"/>
                <w:lang w:val="ru-RU"/>
              </w:rPr>
            </w:pPr>
            <w:r>
              <w:rPr>
                <w:sz w:val="20"/>
                <w:szCs w:val="20"/>
                <w:lang w:val="ru-RU"/>
              </w:rPr>
              <w:t xml:space="preserve">    11237</w:t>
            </w:r>
          </w:p>
        </w:tc>
      </w:tr>
      <w:tr w:rsidR="0093438C" w:rsidRPr="0080752D" w:rsidTr="009F449D">
        <w:trPr>
          <w:tblCellSpacing w:w="0" w:type="dxa"/>
        </w:trPr>
        <w:tc>
          <w:tcPr>
            <w:tcW w:w="5759" w:type="dxa"/>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Довгострокові зобов’язання і забезпечення</w:t>
            </w:r>
          </w:p>
        </w:tc>
        <w:tc>
          <w:tcPr>
            <w:tcW w:w="1888" w:type="dxa"/>
            <w:tcBorders>
              <w:top w:val="outset" w:sz="6" w:space="0" w:color="auto"/>
              <w:left w:val="outset" w:sz="6" w:space="0" w:color="auto"/>
              <w:bottom w:val="outset" w:sz="6" w:space="0" w:color="auto"/>
              <w:right w:val="outset" w:sz="6" w:space="0" w:color="auto"/>
            </w:tcBorders>
            <w:vAlign w:val="center"/>
          </w:tcPr>
          <w:p w:rsidR="0093438C" w:rsidRPr="00F83404" w:rsidRDefault="0093438C" w:rsidP="009F449D">
            <w:pPr>
              <w:pStyle w:val="a4"/>
              <w:rPr>
                <w:sz w:val="20"/>
                <w:szCs w:val="20"/>
                <w:lang w:val="en-US"/>
              </w:rPr>
            </w:pPr>
          </w:p>
        </w:tc>
        <w:tc>
          <w:tcPr>
            <w:tcW w:w="1692" w:type="dxa"/>
            <w:tcBorders>
              <w:top w:val="outset" w:sz="6" w:space="0" w:color="auto"/>
              <w:left w:val="outset" w:sz="6" w:space="0" w:color="auto"/>
              <w:bottom w:val="outset" w:sz="6" w:space="0" w:color="auto"/>
              <w:right w:val="outset" w:sz="6" w:space="0" w:color="auto"/>
            </w:tcBorders>
            <w:vAlign w:val="center"/>
          </w:tcPr>
          <w:p w:rsidR="0093438C" w:rsidRPr="00F83404" w:rsidRDefault="0093438C" w:rsidP="009F449D">
            <w:pPr>
              <w:pStyle w:val="a4"/>
              <w:rPr>
                <w:sz w:val="20"/>
                <w:szCs w:val="20"/>
                <w:lang w:val="en-US"/>
              </w:rPr>
            </w:pPr>
            <w:r>
              <w:rPr>
                <w:sz w:val="20"/>
                <w:szCs w:val="20"/>
                <w:lang w:val="en-US"/>
              </w:rPr>
              <w:t>-</w:t>
            </w:r>
          </w:p>
        </w:tc>
      </w:tr>
      <w:tr w:rsidR="0093438C" w:rsidRPr="0080752D" w:rsidTr="009F449D">
        <w:trPr>
          <w:tblCellSpacing w:w="0" w:type="dxa"/>
        </w:trPr>
        <w:tc>
          <w:tcPr>
            <w:tcW w:w="5759" w:type="dxa"/>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Поточні зобов’язання і забезпечення</w:t>
            </w:r>
          </w:p>
        </w:tc>
        <w:tc>
          <w:tcPr>
            <w:tcW w:w="1888" w:type="dxa"/>
            <w:tcBorders>
              <w:top w:val="outset" w:sz="6" w:space="0" w:color="auto"/>
              <w:left w:val="outset" w:sz="6" w:space="0" w:color="auto"/>
              <w:bottom w:val="outset" w:sz="6" w:space="0" w:color="auto"/>
              <w:right w:val="outset" w:sz="6" w:space="0" w:color="auto"/>
            </w:tcBorders>
            <w:vAlign w:val="center"/>
          </w:tcPr>
          <w:p w:rsidR="0093438C" w:rsidRPr="00DB7E08" w:rsidRDefault="0093438C" w:rsidP="009F449D">
            <w:pPr>
              <w:pStyle w:val="a4"/>
              <w:rPr>
                <w:sz w:val="20"/>
                <w:szCs w:val="20"/>
                <w:lang w:val="en-US"/>
              </w:rPr>
            </w:pPr>
            <w:r>
              <w:rPr>
                <w:sz w:val="20"/>
                <w:szCs w:val="20"/>
                <w:lang w:val="en-US"/>
              </w:rPr>
              <w:t xml:space="preserve">     17599.3</w:t>
            </w:r>
          </w:p>
        </w:tc>
        <w:tc>
          <w:tcPr>
            <w:tcW w:w="1692" w:type="dxa"/>
            <w:tcBorders>
              <w:top w:val="outset" w:sz="6" w:space="0" w:color="auto"/>
              <w:left w:val="outset" w:sz="6" w:space="0" w:color="auto"/>
              <w:bottom w:val="outset" w:sz="6" w:space="0" w:color="auto"/>
              <w:right w:val="outset" w:sz="6" w:space="0" w:color="auto"/>
            </w:tcBorders>
            <w:vAlign w:val="center"/>
          </w:tcPr>
          <w:p w:rsidR="0093438C" w:rsidRPr="00581683" w:rsidRDefault="0093438C" w:rsidP="009F449D">
            <w:pPr>
              <w:pStyle w:val="a4"/>
              <w:rPr>
                <w:sz w:val="20"/>
                <w:szCs w:val="20"/>
                <w:lang w:val="ru-RU"/>
              </w:rPr>
            </w:pPr>
            <w:r>
              <w:rPr>
                <w:sz w:val="20"/>
                <w:szCs w:val="20"/>
                <w:lang w:val="ru-RU"/>
              </w:rPr>
              <w:t xml:space="preserve">   16648,2</w:t>
            </w:r>
          </w:p>
        </w:tc>
      </w:tr>
      <w:tr w:rsidR="0093438C" w:rsidRPr="0080752D" w:rsidTr="009F449D">
        <w:trPr>
          <w:tblCellSpacing w:w="0" w:type="dxa"/>
        </w:trPr>
        <w:tc>
          <w:tcPr>
            <w:tcW w:w="5759" w:type="dxa"/>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Чистий фінансовий результат: прибуток (збиток)</w:t>
            </w:r>
          </w:p>
        </w:tc>
        <w:tc>
          <w:tcPr>
            <w:tcW w:w="1888" w:type="dxa"/>
            <w:tcBorders>
              <w:top w:val="outset" w:sz="6" w:space="0" w:color="auto"/>
              <w:left w:val="outset" w:sz="6" w:space="0" w:color="auto"/>
              <w:bottom w:val="outset" w:sz="6" w:space="0" w:color="auto"/>
              <w:right w:val="outset" w:sz="6" w:space="0" w:color="auto"/>
            </w:tcBorders>
            <w:vAlign w:val="center"/>
          </w:tcPr>
          <w:p w:rsidR="0093438C" w:rsidRPr="00DB7E08" w:rsidRDefault="0093438C" w:rsidP="009F449D">
            <w:pPr>
              <w:pStyle w:val="a4"/>
              <w:rPr>
                <w:sz w:val="20"/>
                <w:szCs w:val="20"/>
                <w:lang w:val="en-US"/>
              </w:rPr>
            </w:pPr>
            <w:r w:rsidRPr="0066356E">
              <w:rPr>
                <w:sz w:val="20"/>
                <w:szCs w:val="20"/>
                <w:lang w:val="ru-RU"/>
              </w:rPr>
              <w:t xml:space="preserve">      </w:t>
            </w:r>
            <w:r>
              <w:rPr>
                <w:sz w:val="20"/>
                <w:szCs w:val="20"/>
                <w:lang w:val="en-US"/>
              </w:rPr>
              <w:t>(141.5)</w:t>
            </w:r>
          </w:p>
        </w:tc>
        <w:tc>
          <w:tcPr>
            <w:tcW w:w="1692" w:type="dxa"/>
            <w:tcBorders>
              <w:top w:val="outset" w:sz="6" w:space="0" w:color="auto"/>
              <w:left w:val="outset" w:sz="6" w:space="0" w:color="auto"/>
              <w:bottom w:val="outset" w:sz="6" w:space="0" w:color="auto"/>
              <w:right w:val="outset" w:sz="6" w:space="0" w:color="auto"/>
            </w:tcBorders>
            <w:vAlign w:val="center"/>
          </w:tcPr>
          <w:p w:rsidR="0093438C" w:rsidRPr="00581683" w:rsidRDefault="0093438C" w:rsidP="009F449D">
            <w:pPr>
              <w:pStyle w:val="a4"/>
              <w:rPr>
                <w:sz w:val="20"/>
                <w:szCs w:val="20"/>
                <w:lang w:val="ru-RU"/>
              </w:rPr>
            </w:pPr>
            <w:r>
              <w:rPr>
                <w:sz w:val="20"/>
                <w:szCs w:val="20"/>
                <w:lang w:val="ru-RU"/>
              </w:rPr>
              <w:t xml:space="preserve">    (164,5)</w:t>
            </w:r>
          </w:p>
        </w:tc>
      </w:tr>
      <w:tr w:rsidR="0093438C" w:rsidRPr="0080752D" w:rsidTr="009F449D">
        <w:trPr>
          <w:tblCellSpacing w:w="0" w:type="dxa"/>
        </w:trPr>
        <w:tc>
          <w:tcPr>
            <w:tcW w:w="5759" w:type="dxa"/>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Середньорічна кількість акцій (шт.)</w:t>
            </w:r>
          </w:p>
        </w:tc>
        <w:tc>
          <w:tcPr>
            <w:tcW w:w="1888" w:type="dxa"/>
            <w:tcBorders>
              <w:top w:val="outset" w:sz="6" w:space="0" w:color="auto"/>
              <w:left w:val="outset" w:sz="6" w:space="0" w:color="auto"/>
              <w:bottom w:val="outset" w:sz="6" w:space="0" w:color="auto"/>
              <w:right w:val="outset" w:sz="6" w:space="0" w:color="auto"/>
            </w:tcBorders>
            <w:vAlign w:val="center"/>
          </w:tcPr>
          <w:p w:rsidR="0093438C" w:rsidRPr="00DB7E08" w:rsidRDefault="0093438C" w:rsidP="009F449D">
            <w:pPr>
              <w:pStyle w:val="a4"/>
              <w:rPr>
                <w:sz w:val="20"/>
                <w:szCs w:val="20"/>
                <w:lang w:val="en-US"/>
              </w:rPr>
            </w:pPr>
            <w:r>
              <w:rPr>
                <w:sz w:val="20"/>
                <w:szCs w:val="20"/>
                <w:lang w:val="en-US"/>
              </w:rPr>
              <w:t xml:space="preserve">     44946720</w:t>
            </w:r>
          </w:p>
        </w:tc>
        <w:tc>
          <w:tcPr>
            <w:tcW w:w="1692" w:type="dxa"/>
            <w:tcBorders>
              <w:top w:val="outset" w:sz="6" w:space="0" w:color="auto"/>
              <w:left w:val="outset" w:sz="6" w:space="0" w:color="auto"/>
              <w:bottom w:val="outset" w:sz="6" w:space="0" w:color="auto"/>
              <w:right w:val="outset" w:sz="6" w:space="0" w:color="auto"/>
            </w:tcBorders>
            <w:vAlign w:val="center"/>
          </w:tcPr>
          <w:p w:rsidR="0093438C" w:rsidRPr="001419B1" w:rsidRDefault="0093438C" w:rsidP="009F449D">
            <w:pPr>
              <w:pStyle w:val="a4"/>
              <w:rPr>
                <w:sz w:val="20"/>
                <w:szCs w:val="20"/>
                <w:lang w:val="ru-RU"/>
              </w:rPr>
            </w:pPr>
            <w:r w:rsidRPr="001419B1">
              <w:rPr>
                <w:sz w:val="20"/>
                <w:szCs w:val="20"/>
              </w:rPr>
              <w:t>44946720</w:t>
            </w:r>
          </w:p>
        </w:tc>
      </w:tr>
      <w:tr w:rsidR="0093438C" w:rsidRPr="0080752D" w:rsidTr="009F449D">
        <w:trPr>
          <w:tblCellSpacing w:w="0" w:type="dxa"/>
        </w:trPr>
        <w:tc>
          <w:tcPr>
            <w:tcW w:w="5759" w:type="dxa"/>
            <w:tcBorders>
              <w:top w:val="outset" w:sz="6" w:space="0" w:color="auto"/>
              <w:left w:val="outset" w:sz="6" w:space="0" w:color="auto"/>
              <w:bottom w:val="outset" w:sz="6" w:space="0" w:color="auto"/>
              <w:right w:val="outset" w:sz="6" w:space="0" w:color="auto"/>
            </w:tcBorders>
            <w:vAlign w:val="center"/>
          </w:tcPr>
          <w:p w:rsidR="0093438C" w:rsidRPr="0080752D" w:rsidRDefault="0093438C" w:rsidP="009F449D">
            <w:pPr>
              <w:pStyle w:val="a4"/>
              <w:rPr>
                <w:sz w:val="20"/>
                <w:szCs w:val="20"/>
              </w:rPr>
            </w:pPr>
            <w:r w:rsidRPr="0080752D">
              <w:rPr>
                <w:sz w:val="20"/>
                <w:szCs w:val="20"/>
              </w:rPr>
              <w:t>Чистий прибуток (збиток) на одну просту акцію (грн)</w:t>
            </w:r>
          </w:p>
        </w:tc>
        <w:tc>
          <w:tcPr>
            <w:tcW w:w="1888" w:type="dxa"/>
            <w:tcBorders>
              <w:top w:val="outset" w:sz="6" w:space="0" w:color="auto"/>
              <w:left w:val="outset" w:sz="6" w:space="0" w:color="auto"/>
              <w:bottom w:val="outset" w:sz="6" w:space="0" w:color="auto"/>
              <w:right w:val="outset" w:sz="6" w:space="0" w:color="auto"/>
            </w:tcBorders>
            <w:vAlign w:val="center"/>
          </w:tcPr>
          <w:p w:rsidR="0093438C" w:rsidRPr="00F83404" w:rsidRDefault="0093438C" w:rsidP="009F449D">
            <w:pPr>
              <w:pStyle w:val="a4"/>
              <w:rPr>
                <w:sz w:val="20"/>
                <w:szCs w:val="20"/>
                <w:lang w:val="en-US"/>
              </w:rPr>
            </w:pPr>
            <w:r>
              <w:rPr>
                <w:sz w:val="20"/>
                <w:szCs w:val="20"/>
                <w:lang w:val="en-US"/>
              </w:rPr>
              <w:t xml:space="preserve">     -000315</w:t>
            </w:r>
          </w:p>
        </w:tc>
        <w:tc>
          <w:tcPr>
            <w:tcW w:w="1692" w:type="dxa"/>
            <w:tcBorders>
              <w:top w:val="outset" w:sz="6" w:space="0" w:color="auto"/>
              <w:left w:val="outset" w:sz="6" w:space="0" w:color="auto"/>
              <w:bottom w:val="outset" w:sz="6" w:space="0" w:color="auto"/>
              <w:right w:val="outset" w:sz="6" w:space="0" w:color="auto"/>
            </w:tcBorders>
            <w:vAlign w:val="center"/>
          </w:tcPr>
          <w:p w:rsidR="0093438C" w:rsidRPr="00F83404" w:rsidRDefault="0093438C" w:rsidP="009F449D">
            <w:pPr>
              <w:pStyle w:val="a4"/>
              <w:rPr>
                <w:sz w:val="20"/>
                <w:szCs w:val="20"/>
                <w:lang w:val="en-US"/>
              </w:rPr>
            </w:pPr>
            <w:r>
              <w:rPr>
                <w:sz w:val="20"/>
                <w:szCs w:val="20"/>
                <w:lang w:val="en-US"/>
              </w:rPr>
              <w:t>-0.00366</w:t>
            </w:r>
          </w:p>
        </w:tc>
      </w:tr>
    </w:tbl>
    <w:p w:rsidR="000D5F15" w:rsidRPr="0080752D" w:rsidRDefault="000D5F15" w:rsidP="000D5F15">
      <w:pPr>
        <w:ind w:firstLine="720"/>
        <w:jc w:val="both"/>
        <w:rPr>
          <w:lang w:val="uk-UA"/>
        </w:rPr>
      </w:pPr>
    </w:p>
    <w:p w:rsidR="000D5F15" w:rsidRPr="0080752D" w:rsidRDefault="000D5F15" w:rsidP="000D5F15">
      <w:pPr>
        <w:jc w:val="right"/>
        <w:rPr>
          <w:b/>
          <w:lang w:val="uk-UA"/>
        </w:rPr>
      </w:pPr>
      <w:r w:rsidRPr="0080752D">
        <w:rPr>
          <w:b/>
          <w:lang w:val="uk-UA"/>
        </w:rPr>
        <w:t>НАГЛЯДОВА РАДА</w:t>
      </w:r>
    </w:p>
    <w:p w:rsidR="000D5F15" w:rsidRPr="00B07F5B" w:rsidRDefault="000D5F15" w:rsidP="00B07F5B">
      <w:pPr>
        <w:jc w:val="both"/>
        <w:rPr>
          <w:rFonts w:ascii="Times New Roman" w:hAnsi="Times New Roman" w:cs="Times New Roman"/>
          <w:lang w:val="uk-UA"/>
        </w:rPr>
      </w:pPr>
    </w:p>
    <w:sectPr w:rsidR="000D5F15" w:rsidRPr="00B07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5B"/>
    <w:rsid w:val="000145EE"/>
    <w:rsid w:val="00042EF3"/>
    <w:rsid w:val="000D5F15"/>
    <w:rsid w:val="000E52B5"/>
    <w:rsid w:val="001419B1"/>
    <w:rsid w:val="00217DF8"/>
    <w:rsid w:val="002D1876"/>
    <w:rsid w:val="002E0547"/>
    <w:rsid w:val="002E768A"/>
    <w:rsid w:val="00471BB7"/>
    <w:rsid w:val="008A63E3"/>
    <w:rsid w:val="0093438C"/>
    <w:rsid w:val="00974D01"/>
    <w:rsid w:val="009B03AD"/>
    <w:rsid w:val="009C1320"/>
    <w:rsid w:val="009D6DB3"/>
    <w:rsid w:val="009F4FE2"/>
    <w:rsid w:val="009F72A8"/>
    <w:rsid w:val="00AC3FC8"/>
    <w:rsid w:val="00B07F5B"/>
    <w:rsid w:val="00BE03FC"/>
    <w:rsid w:val="00C41743"/>
    <w:rsid w:val="00CC75FB"/>
    <w:rsid w:val="00CF5F24"/>
    <w:rsid w:val="00DC4CF9"/>
    <w:rsid w:val="00FE0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90CF"/>
  <w15:docId w15:val="{C5E55A22-3A81-49C4-9DB8-DB35293C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D5F15"/>
    <w:pPr>
      <w:spacing w:after="0" w:line="240" w:lineRule="auto"/>
    </w:pPr>
    <w:rPr>
      <w:rFonts w:ascii="Verdana" w:eastAsia="Times New Roman" w:hAnsi="Verdana" w:cs="Verdana"/>
      <w:sz w:val="20"/>
      <w:szCs w:val="20"/>
      <w:lang w:val="en-US"/>
    </w:rPr>
  </w:style>
  <w:style w:type="paragraph" w:styleId="a4">
    <w:name w:val="Normal (Web)"/>
    <w:basedOn w:val="a"/>
    <w:uiPriority w:val="99"/>
    <w:rsid w:val="000D5F1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unhideWhenUsed/>
    <w:rsid w:val="00AC3FC8"/>
    <w:rPr>
      <w:color w:val="0563C1" w:themeColor="hyperlink"/>
      <w:u w:val="single"/>
    </w:rPr>
  </w:style>
  <w:style w:type="paragraph" w:styleId="a6">
    <w:name w:val="List Paragraph"/>
    <w:basedOn w:val="a"/>
    <w:uiPriority w:val="34"/>
    <w:qFormat/>
    <w:rsid w:val="00471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is1962@ukr.net" TargetMode="External"/><Relationship Id="rId3" Type="http://schemas.openxmlformats.org/officeDocument/2006/relationships/webSettings" Target="webSettings.xml"/><Relationship Id="rId7" Type="http://schemas.openxmlformats.org/officeDocument/2006/relationships/hyperlink" Target="mailto:netis1962@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tis1962@ukr.net" TargetMode="External"/><Relationship Id="rId11" Type="http://schemas.openxmlformats.org/officeDocument/2006/relationships/theme" Target="theme/theme1.xml"/><Relationship Id="rId5" Type="http://schemas.openxmlformats.org/officeDocument/2006/relationships/hyperlink" Target="mailto:netis1962@ukr.net" TargetMode="External"/><Relationship Id="rId10" Type="http://schemas.openxmlformats.org/officeDocument/2006/relationships/fontTable" Target="fontTable.xml"/><Relationship Id="rId4" Type="http://schemas.openxmlformats.org/officeDocument/2006/relationships/hyperlink" Target="http://www.enko.pat.ua/" TargetMode="External"/><Relationship Id="rId9" Type="http://schemas.openxmlformats.org/officeDocument/2006/relationships/hyperlink" Target="mailto:netis1962@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7</Pages>
  <Words>3684</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KUB_MART_UA KUB_MART_UA</dc:creator>
  <cp:keywords/>
  <dc:description/>
  <cp:lastModifiedBy>KUB_MART_UA KUB_MART_UA</cp:lastModifiedBy>
  <cp:revision>12</cp:revision>
  <dcterms:created xsi:type="dcterms:W3CDTF">2022-11-15T11:16:00Z</dcterms:created>
  <dcterms:modified xsi:type="dcterms:W3CDTF">2022-11-25T21:52:00Z</dcterms:modified>
</cp:coreProperties>
</file>